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56C" w:rsidRDefault="0081656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Финансовый  отдел  Администрации</w:t>
      </w:r>
    </w:p>
    <w:p w:rsidR="0081656C" w:rsidRDefault="0081656C">
      <w:pPr>
        <w:rPr>
          <w:rFonts w:ascii="Arial" w:hAnsi="Arial" w:cs="Arial"/>
        </w:rPr>
      </w:pPr>
      <w:r>
        <w:rPr>
          <w:rFonts w:ascii="Arial" w:hAnsi="Arial" w:cs="Arial"/>
        </w:rPr>
        <w:t>Мишкинского района</w:t>
      </w: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pStyle w:val="Heading7"/>
      </w:pPr>
      <w:r>
        <w:t>ПРИКАЗ</w:t>
      </w: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4"/>
          <w:szCs w:val="24"/>
        </w:rPr>
        <w:t>23 августа 2016 года № 30</w:t>
      </w:r>
    </w:p>
    <w:p w:rsidR="0081656C" w:rsidRDefault="0081656C">
      <w:pPr>
        <w:ind w:firstLine="1260"/>
        <w:rPr>
          <w:rFonts w:cs="Times New Roman"/>
          <w:sz w:val="26"/>
          <w:szCs w:val="26"/>
        </w:rPr>
      </w:pPr>
    </w:p>
    <w:p w:rsidR="0081656C" w:rsidRDefault="0081656C">
      <w:pPr>
        <w:ind w:firstLine="1260"/>
        <w:rPr>
          <w:rFonts w:cs="Times New Roman"/>
          <w:sz w:val="26"/>
          <w:szCs w:val="26"/>
        </w:rPr>
      </w:pPr>
    </w:p>
    <w:p w:rsidR="0081656C" w:rsidRDefault="0081656C">
      <w:pPr>
        <w:ind w:firstLine="1260"/>
        <w:rPr>
          <w:rFonts w:cs="Times New Roman"/>
          <w:sz w:val="26"/>
          <w:szCs w:val="26"/>
        </w:rPr>
      </w:pPr>
    </w:p>
    <w:p w:rsidR="0081656C" w:rsidRDefault="0081656C">
      <w:pPr>
        <w:pStyle w:val="ConsPlus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>Об утверждении Методики прогнозирования поступлений доходов районного бюджета</w:t>
      </w:r>
      <w:r>
        <w:rPr>
          <w:b/>
          <w:bCs/>
          <w:color w:val="000000"/>
          <w:sz w:val="24"/>
          <w:szCs w:val="24"/>
        </w:rPr>
        <w:t>, администрирование которых осуществляет финансовый отдел Администрации Мишкинского района</w:t>
      </w:r>
    </w:p>
    <w:p w:rsidR="0081656C" w:rsidRDefault="0081656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81656C" w:rsidRDefault="0081656C">
      <w:pPr>
        <w:spacing w:before="100" w:beforeAutospacing="1" w:after="100" w:afterAutospacing="1"/>
        <w:jc w:val="both"/>
        <w:rPr>
          <w:rStyle w:val="1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В соответствии со </w:t>
      </w:r>
      <w:hyperlink r:id="rId7" w:history="1">
        <w:r>
          <w:rPr>
            <w:rFonts w:ascii="Arial" w:hAnsi="Arial" w:cs="Arial"/>
            <w:color w:val="628DBA"/>
            <w:sz w:val="24"/>
            <w:szCs w:val="24"/>
            <w:u w:val="single"/>
          </w:rPr>
          <w:t>статьей 160.1</w:t>
        </w:r>
      </w:hyperlink>
      <w:r>
        <w:rPr>
          <w:rFonts w:ascii="Arial" w:hAnsi="Arial" w:cs="Arial"/>
          <w:sz w:val="24"/>
          <w:szCs w:val="24"/>
        </w:rPr>
        <w:t xml:space="preserve"> Бюджетного кодекса Российской Федерации, общими требованиями к 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  июня 2016 года № 574 </w:t>
      </w:r>
      <w:r>
        <w:rPr>
          <w:rStyle w:val="1"/>
          <w:rFonts w:ascii="Arial" w:hAnsi="Arial" w:cs="Arial"/>
          <w:sz w:val="24"/>
          <w:szCs w:val="24"/>
          <w:lang w:eastAsia="ru-RU"/>
        </w:rPr>
        <w:t>«Об общих требованиях к методике прогнозирования поступлений доходов в бюджеты бюджетной системы Российской Федерации»</w:t>
      </w:r>
      <w:r>
        <w:rPr>
          <w:rStyle w:val="1"/>
          <w:lang w:eastAsia="ru-RU"/>
        </w:rPr>
        <w:t xml:space="preserve">, </w:t>
      </w:r>
    </w:p>
    <w:p w:rsidR="0081656C" w:rsidRDefault="0081656C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sz w:val="24"/>
          <w:szCs w:val="24"/>
          <w:lang w:eastAsia="ru-RU"/>
        </w:rPr>
        <w:t>приказываю:</w:t>
      </w:r>
    </w:p>
    <w:p w:rsidR="0081656C" w:rsidRDefault="008165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 Утвердить Методику прогнозирования поступлений доходов в районный бюджет согласно приложению к настоящему приказу.</w:t>
      </w:r>
    </w:p>
    <w:p w:rsidR="0081656C" w:rsidRDefault="0081656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  Настоящий приказ вступает в силу со дня подписания.</w:t>
      </w:r>
    </w:p>
    <w:p w:rsidR="0081656C" w:rsidRDefault="00816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      3.  Контроль за исполнением настоящего приказа  оставляю за собой.</w:t>
      </w: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Заведующий финансовым отделом                                                               Е.А.Потапова</w:t>
      </w: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1656C" w:rsidRDefault="0081656C">
      <w:pPr>
        <w:pStyle w:val="ConsPlusTitle"/>
        <w:widowControl/>
        <w:tabs>
          <w:tab w:val="left" w:pos="-142"/>
          <w:tab w:val="left" w:pos="5245"/>
          <w:tab w:val="right" w:pos="9636"/>
        </w:tabs>
        <w:spacing w:line="288" w:lineRule="auto"/>
        <w:ind w:left="-142"/>
        <w:rPr>
          <w:b w:val="0"/>
          <w:bCs w:val="0"/>
          <w:sz w:val="24"/>
          <w:szCs w:val="24"/>
        </w:rPr>
      </w:pP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4"/>
          <w:szCs w:val="24"/>
        </w:rPr>
        <w:t>Приложение</w:t>
      </w:r>
    </w:p>
    <w:p w:rsidR="0081656C" w:rsidRDefault="0081656C">
      <w:pPr>
        <w:pStyle w:val="ConsPlusTitle"/>
        <w:widowControl/>
        <w:tabs>
          <w:tab w:val="left" w:pos="-142"/>
          <w:tab w:val="left" w:pos="5245"/>
          <w:tab w:val="left" w:pos="5595"/>
          <w:tab w:val="right" w:pos="9636"/>
        </w:tabs>
        <w:spacing w:line="288" w:lineRule="auto"/>
        <w:ind w:left="-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 xml:space="preserve"> к приказу финансового отдела</w:t>
      </w:r>
    </w:p>
    <w:p w:rsidR="0081656C" w:rsidRDefault="0081656C">
      <w:pPr>
        <w:pStyle w:val="ConsPlusTitle"/>
        <w:widowControl/>
        <w:tabs>
          <w:tab w:val="left" w:pos="-142"/>
          <w:tab w:val="left" w:pos="5245"/>
          <w:tab w:val="left" w:pos="5655"/>
          <w:tab w:val="right" w:pos="9636"/>
        </w:tabs>
        <w:spacing w:line="288" w:lineRule="auto"/>
        <w:ind w:left="-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Администрации Мишкинского района</w:t>
      </w:r>
    </w:p>
    <w:p w:rsidR="0081656C" w:rsidRDefault="0081656C">
      <w:pPr>
        <w:pStyle w:val="ConsPlusTitle"/>
        <w:widowControl/>
        <w:tabs>
          <w:tab w:val="left" w:pos="-142"/>
          <w:tab w:val="left" w:pos="5245"/>
          <w:tab w:val="left" w:pos="5685"/>
          <w:tab w:val="right" w:pos="9636"/>
        </w:tabs>
        <w:spacing w:line="288" w:lineRule="auto"/>
        <w:ind w:left="-14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  <w:t>от  23 августа 2016 года № 30</w:t>
      </w:r>
    </w:p>
    <w:p w:rsidR="0081656C" w:rsidRDefault="0081656C">
      <w:pPr>
        <w:pStyle w:val="ConsPlusTitle"/>
        <w:widowControl/>
        <w:tabs>
          <w:tab w:val="left" w:pos="-142"/>
          <w:tab w:val="left" w:pos="709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Normal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 xml:space="preserve">Методика </w:t>
      </w:r>
      <w:r>
        <w:rPr>
          <w:b/>
          <w:bCs/>
          <w:sz w:val="24"/>
          <w:szCs w:val="24"/>
        </w:rPr>
        <w:t>прогнозирования поступлений доходов районного бюджета</w:t>
      </w:r>
      <w:r>
        <w:rPr>
          <w:b/>
          <w:bCs/>
          <w:color w:val="000000"/>
          <w:sz w:val="24"/>
          <w:szCs w:val="24"/>
        </w:rPr>
        <w:t>, администрирование которых осуществляет финансовый отдел Администрации Мишкинского района</w:t>
      </w:r>
    </w:p>
    <w:p w:rsidR="0081656C" w:rsidRDefault="0081656C">
      <w:pPr>
        <w:pStyle w:val="ConsPlusNormal"/>
        <w:jc w:val="center"/>
        <w:outlineLvl w:val="1"/>
        <w:rPr>
          <w:sz w:val="24"/>
          <w:szCs w:val="24"/>
        </w:rPr>
      </w:pPr>
    </w:p>
    <w:p w:rsidR="0081656C" w:rsidRDefault="0081656C">
      <w:pPr>
        <w:pStyle w:val="ConsPlusNormal"/>
        <w:widowControl/>
        <w:numPr>
          <w:ilvl w:val="0"/>
          <w:numId w:val="4"/>
        </w:numPr>
        <w:tabs>
          <w:tab w:val="left" w:pos="1134"/>
        </w:tabs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Методика определяет основные принципы прогнозирования доходов районного бюджета </w:t>
      </w:r>
      <w:r>
        <w:rPr>
          <w:color w:val="000000"/>
          <w:sz w:val="24"/>
          <w:szCs w:val="24"/>
        </w:rPr>
        <w:t>на очередной финансовый год и плановый период (далее Доходы), администрирование которых осуществляет финансовый отдел Администрации Мишкинского района (далее – главный администратор)</w:t>
      </w:r>
      <w:r>
        <w:rPr>
          <w:sz w:val="24"/>
          <w:szCs w:val="24"/>
        </w:rPr>
        <w:t>.</w:t>
      </w:r>
    </w:p>
    <w:p w:rsidR="0081656C" w:rsidRDefault="0081656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Перечень доходов районного бюджета, по которым осуществляется прогнозирование, определен в приложении к приказу финансового отдела Администрации Мишкинского района от 28 декабря 2015 года №48 «Об осуществлении функций администратора доходов районного бюджета и администратора источников финансирования дефицита районного бюджета».           </w:t>
      </w:r>
    </w:p>
    <w:p w:rsidR="0081656C" w:rsidRDefault="0081656C">
      <w:pPr>
        <w:pStyle w:val="ListParagraph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Прогнозирование осуществляется в соответствии с указаниями о порядке применения бюджетной классификации Российской Федерации, утверждаемыми Министерством  финансов Российской Федерации.</w:t>
      </w:r>
    </w:p>
    <w:p w:rsidR="0081656C" w:rsidRDefault="0081656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В перечень доходов, закрепленных за главным администратором, входят доходы, поступление которых не имеет постоянного характера.</w:t>
      </w:r>
    </w:p>
    <w:p w:rsidR="0081656C" w:rsidRDefault="0081656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Прогнозирование данного вида доходов районного бюджета  осуществляется с применением метода усреднения, на основании усредненных годовых объемов фактического  поступления соответствующих доходов за 3 года, предшествующих планируемому (по данным бухгалтерского учета). В случае наличия 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 </w:t>
      </w:r>
    </w:p>
    <w:p w:rsidR="0081656C" w:rsidRDefault="0081656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Также возможен к применению метод экспертной оценки, который основывается на предполагаемых возможных поступлениях в доход  районного бюджета данного доходного источника в очередном финансовом году.</w:t>
      </w:r>
    </w:p>
    <w:p w:rsidR="0081656C" w:rsidRDefault="0081656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доходам районного бюджета, </w:t>
      </w:r>
      <w:r>
        <w:rPr>
          <w:rFonts w:ascii="Arial" w:hAnsi="Arial" w:cs="Arial"/>
          <w:color w:val="000000"/>
          <w:sz w:val="24"/>
          <w:szCs w:val="24"/>
        </w:rPr>
        <w:t xml:space="preserve">администрирование которых осуществляет главный администратор, </w:t>
      </w:r>
      <w:r>
        <w:rPr>
          <w:rFonts w:ascii="Arial" w:hAnsi="Arial" w:cs="Arial"/>
          <w:sz w:val="24"/>
          <w:szCs w:val="24"/>
        </w:rPr>
        <w:t>поступление которых не имеет постоянного характера, относятся: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 прочие доходы от компенсации затрат бюджетов муниципальных районов (1 13 02995 05 0000 130);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- денежные  взыскания  (штрафы)  за  нарушение   </w:t>
      </w:r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8" w:anchor="/document/12112604/entry/2" w:history="1">
        <w:r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бюджетного законодательства</w:t>
        </w:r>
      </w:hyperlink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(в части бюджетов муниципальных районов)</w:t>
      </w:r>
      <w:r>
        <w:rPr>
          <w:sz w:val="24"/>
          <w:szCs w:val="24"/>
        </w:rPr>
        <w:t xml:space="preserve"> (1 16 18050 05 0000 140);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>
        <w:rPr>
          <w:sz w:val="24"/>
          <w:szCs w:val="24"/>
          <w:shd w:val="clear" w:color="auto" w:fill="FFFFFF"/>
        </w:rPr>
        <w:t>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 (</w:t>
      </w:r>
      <w:r>
        <w:rPr>
          <w:sz w:val="24"/>
          <w:szCs w:val="24"/>
        </w:rPr>
        <w:t>1 16 23051 05 0000 140);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 (</w:t>
      </w:r>
      <w:r>
        <w:rPr>
          <w:sz w:val="24"/>
          <w:szCs w:val="24"/>
        </w:rPr>
        <w:t>1 16 23052 05 0000 140);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- 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 (</w:t>
      </w:r>
      <w:r>
        <w:rPr>
          <w:sz w:val="24"/>
          <w:szCs w:val="24"/>
        </w:rPr>
        <w:t>1 16 32000 05 0000 140);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- денежные взыскания (штрафы) за нарушение</w:t>
      </w:r>
      <w:r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anchor="/document/70353464/entry/2" w:history="1">
        <w:r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законодательства</w:t>
        </w:r>
      </w:hyperlink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 (</w:t>
      </w:r>
      <w:r>
        <w:rPr>
          <w:sz w:val="24"/>
          <w:szCs w:val="24"/>
        </w:rPr>
        <w:t>1 16 33050 05 0000 140);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- прочие неналоговые доходы бюджетов муниципальных районов (</w:t>
      </w:r>
      <w:r>
        <w:rPr>
          <w:sz w:val="24"/>
          <w:szCs w:val="24"/>
        </w:rPr>
        <w:t>1 17 05050 05 0000 180);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государственными (муниципальными) организациями грантов для получателей средств бюджетов муниципальных районов (2 03 05010 05 0000 180);</w:t>
      </w:r>
    </w:p>
    <w:p w:rsidR="0081656C" w:rsidRDefault="0081656C">
      <w:pPr>
        <w:pStyle w:val="ConsPlusNormal"/>
        <w:tabs>
          <w:tab w:val="left" w:pos="993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поступления от денежных пожертвований,   предоставляемых государственными (муниципальными) организациями получателям средств бюджетов муниципальных районов (2 03 05020 05 0000 180);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прочие безвозмездные поступления от государственных (муниципальных) организаций в бюджеты муниципальных районов (2 03 05099 05 0000 180);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поступления от денежных пожертвований, предоставляемых физическими лицами получателям средств бюджетов муниципальных районов (2 07 05020 05 0000 180);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прочие безвозмездные поступления в бюджеты муниципальных районов (2 07 05030 05 0000 180);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(2 18 05010 05 0000 151);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возврат остатков субсидий, субвенций и иных межбюджетных трансфертов, имеющих целевое назначение, прошлых лет из бюджетов муниципальных районов (2 19 05000 05 0000 151).</w:t>
      </w:r>
    </w:p>
    <w:p w:rsidR="0081656C" w:rsidRDefault="0081656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Расчет объемов данных  на плановый период осуществляется методом  прогнозирования с учетом фактического поступления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Прогнозирование объема безвозмездных поступлений в районный бюджет осуществляется на основании объема расходов, предусмотренных в областном бюджете и бюджетах поселений</w:t>
      </w:r>
      <w:r>
        <w:rPr>
          <w:color w:val="000000"/>
          <w:sz w:val="24"/>
          <w:szCs w:val="24"/>
        </w:rPr>
        <w:t xml:space="preserve"> на очередной финансовый год и плановый период, в части предоставления финансовой помощи муниципальному району</w:t>
      </w:r>
      <w:r>
        <w:rPr>
          <w:sz w:val="24"/>
          <w:szCs w:val="24"/>
        </w:rPr>
        <w:t xml:space="preserve"> (2 02 00000 00 0000 000).</w:t>
      </w:r>
    </w:p>
    <w:p w:rsidR="0081656C" w:rsidRDefault="0081656C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7. В процессе исполнения районного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81656C" w:rsidRDefault="0081656C">
      <w:pPr>
        <w:pStyle w:val="ConsPlusNormal"/>
        <w:jc w:val="both"/>
        <w:rPr>
          <w:sz w:val="24"/>
          <w:szCs w:val="24"/>
        </w:rPr>
      </w:pPr>
    </w:p>
    <w:p w:rsidR="0081656C" w:rsidRDefault="0081656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81656C" w:rsidRDefault="0081656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81656C" w:rsidSect="0081656C">
      <w:headerReference w:type="default" r:id="rId10"/>
      <w:pgSz w:w="11906" w:h="16838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56C" w:rsidRDefault="008165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1656C" w:rsidRDefault="008165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56C" w:rsidRDefault="008165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1656C" w:rsidRDefault="008165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56C" w:rsidRDefault="0081656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1656C" w:rsidRDefault="0081656C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26FD3"/>
    <w:multiLevelType w:val="hybridMultilevel"/>
    <w:tmpl w:val="233E878E"/>
    <w:lvl w:ilvl="0" w:tplc="E89C3CCE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">
    <w:nsid w:val="605868E8"/>
    <w:multiLevelType w:val="singleLevel"/>
    <w:tmpl w:val="904E91E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2">
    <w:nsid w:val="66AC1A3C"/>
    <w:multiLevelType w:val="hybridMultilevel"/>
    <w:tmpl w:val="C5F8630E"/>
    <w:lvl w:ilvl="0" w:tplc="9066369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3">
    <w:nsid w:val="6CFD7B01"/>
    <w:multiLevelType w:val="hybridMultilevel"/>
    <w:tmpl w:val="86723B52"/>
    <w:lvl w:ilvl="0" w:tplc="A634CC8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56C"/>
    <w:rsid w:val="00816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41" w:firstLine="424"/>
      <w:jc w:val="both"/>
      <w:outlineLvl w:val="0"/>
    </w:pPr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firstLine="851"/>
      <w:jc w:val="both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firstLine="851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rFonts w:ascii="Arial" w:hAnsi="Arial" w:cs="Arial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656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65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65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656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656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656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656C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pPr>
      <w:ind w:left="284" w:hanging="851"/>
      <w:jc w:val="both"/>
    </w:pPr>
    <w:rPr>
      <w:rFonts w:ascii="Arial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ind w:left="284" w:firstLine="425"/>
      <w:jc w:val="both"/>
    </w:pPr>
    <w:rPr>
      <w:rFonts w:ascii="Arial" w:hAnsi="Arial" w:cs="Arial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656C"/>
    <w:rPr>
      <w:rFonts w:ascii="Times New Roman" w:hAnsi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56C"/>
    <w:rPr>
      <w:rFonts w:ascii="Times New Roman" w:hAnsi="Times New Roman" w:cs="Times New Roman"/>
      <w:sz w:val="0"/>
      <w:szCs w:val="0"/>
    </w:rPr>
  </w:style>
  <w:style w:type="paragraph" w:styleId="BodyText">
    <w:name w:val="Body Text"/>
    <w:basedOn w:val="Normal"/>
    <w:link w:val="BodyTextChar"/>
    <w:uiPriority w:val="99"/>
    <w:pPr>
      <w:spacing w:after="120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1656C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character" w:customStyle="1" w:styleId="1">
    <w:name w:val="Основной текст1"/>
    <w:basedOn w:val="DefaultParagraphFont"/>
    <w:uiPriority w:val="99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17EA1ADECF3E2DE05F557E7D1E8743530F457630F486412D80606283D5179A10A9BACD73F6Fn0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3</Pages>
  <Words>958</Words>
  <Characters>5462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Гвоздицин Александр свет Геннадьевич</dc:creator>
  <cp:keywords/>
  <dc:description/>
  <cp:lastModifiedBy>User</cp:lastModifiedBy>
  <cp:revision>24</cp:revision>
  <cp:lastPrinted>2016-08-23T07:29:00Z</cp:lastPrinted>
  <dcterms:created xsi:type="dcterms:W3CDTF">2016-03-17T04:39:00Z</dcterms:created>
  <dcterms:modified xsi:type="dcterms:W3CDTF">2016-08-23T08:15:00Z</dcterms:modified>
</cp:coreProperties>
</file>