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3543300" cy="1276350"/>
                <wp:effectExtent l="5080" t="5080" r="13970" b="1397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hint="default" w:ascii="Liberation Sans" w:hAnsi="Liberation Sans" w:cs="Liberatio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Liberation Sans" w:hAnsi="Liberation Sans" w:cs="Liberation Sans"/>
                                <w:sz w:val="24"/>
                                <w:szCs w:val="24"/>
                              </w:rPr>
                              <w:t>Приложение к   приказу финансового отдела Администрации Мишкинского района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hint="default" w:ascii="Liberation Sans" w:hAnsi="Liberation Sans" w:cs="Liberatio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Liberation Sans" w:hAnsi="Liberation Sans" w:cs="Liberation Sans"/>
                                <w:sz w:val="24"/>
                                <w:szCs w:val="24"/>
                              </w:rPr>
                              <w:t>от «22» января   2020 года № 5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hint="default" w:ascii="Liberation Sans" w:hAnsi="Liberation Sans" w:cs="Liberatio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Liberation Sans" w:hAnsi="Liberation Sans" w:cs="Liberation Sans"/>
                                <w:sz w:val="24"/>
                                <w:szCs w:val="24"/>
                              </w:rPr>
                              <w:t xml:space="preserve">«Об отчете о </w:t>
                            </w:r>
                            <w:r>
                              <w:rPr>
                                <w:rFonts w:hint="default" w:ascii="Liberation Sans" w:hAnsi="Liberation Sans" w:cs="Liberation Sans"/>
                                <w:bCs/>
                                <w:sz w:val="24"/>
                                <w:szCs w:val="24"/>
                              </w:rPr>
                              <w:t>результатах деятельности финансового отдела Администрации Мишкинского района за 2019 год</w:t>
                            </w:r>
                            <w:r>
                              <w:rPr>
                                <w:rFonts w:hint="default" w:ascii="Liberation Sans" w:hAnsi="Liberation Sans" w:cs="Liberation Sans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34pt;margin-top:-18pt;height:100.5pt;width:279pt;z-index:1024;mso-width-relative:page;mso-height-relative:page;" fillcolor="#FFFFFF" filled="t" stroked="t" coordsize="21600,21600" o:gfxdata="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gHA72AAAAAwBAAAPAAAAAAAAAAEAIAAAACIAAABkcnMvZG93bnJldi54bWxQ&#10;SwECFAAUAAAACACHTuJAY3AxhvcBAADuAwAADgAAAAAAAAABACAAAAAnAQAAZHJzL2Uyb0RvYy54&#10;bWxQSwUGAAAAAAYABgBZAQAAk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hint="default" w:ascii="Liberation Sans" w:hAnsi="Liberation Sans" w:cs="Liberation Sans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Liberation Sans" w:hAnsi="Liberation Sans" w:cs="Liberation Sans"/>
                          <w:sz w:val="24"/>
                          <w:szCs w:val="24"/>
                        </w:rPr>
                        <w:t>Приложение к   приказу финансового отдела Администрации Мишкинского района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hint="default" w:ascii="Liberation Sans" w:hAnsi="Liberation Sans" w:cs="Liberation Sans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Liberation Sans" w:hAnsi="Liberation Sans" w:cs="Liberation Sans"/>
                          <w:sz w:val="24"/>
                          <w:szCs w:val="24"/>
                        </w:rPr>
                        <w:t>от «22» января   2020 года № 5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hint="default" w:ascii="Liberation Sans" w:hAnsi="Liberation Sans" w:cs="Liberation Sans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Liberation Sans" w:hAnsi="Liberation Sans" w:cs="Liberation Sans"/>
                          <w:sz w:val="24"/>
                          <w:szCs w:val="24"/>
                        </w:rPr>
                        <w:t xml:space="preserve">«Об отчете о </w:t>
                      </w:r>
                      <w:r>
                        <w:rPr>
                          <w:rFonts w:hint="default" w:ascii="Liberation Sans" w:hAnsi="Liberation Sans" w:cs="Liberation Sans"/>
                          <w:bCs/>
                          <w:sz w:val="24"/>
                          <w:szCs w:val="24"/>
                        </w:rPr>
                        <w:t>результатах деятельности финансового отдела Администрации Мишкинского района за 2019 год</w:t>
                      </w:r>
                      <w:r>
                        <w:rPr>
                          <w:rFonts w:hint="default" w:ascii="Liberation Sans" w:hAnsi="Liberation Sans" w:cs="Liberation Sans"/>
                          <w:sz w:val="24"/>
                          <w:szCs w:val="24"/>
                        </w:rPr>
                        <w:t>»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6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ОТЧЕТ</w:t>
      </w:r>
    </w:p>
    <w:p>
      <w:pPr>
        <w:jc w:val="center"/>
        <w:rPr>
          <w:rFonts w:ascii="Liberation Sans" w:hAnsi="Liberation Sans" w:cs="Arial"/>
          <w:b/>
          <w:sz w:val="28"/>
          <w:szCs w:val="28"/>
        </w:rPr>
      </w:pPr>
      <w:r>
        <w:rPr>
          <w:rFonts w:ascii="Liberation Sans" w:hAnsi="Liberation Sans" w:cs="Arial"/>
          <w:b/>
          <w:sz w:val="28"/>
          <w:szCs w:val="28"/>
        </w:rPr>
        <w:t>о результатах деятельности финансового отдела Администрации Мишкинского района за 2019 год</w:t>
      </w:r>
    </w:p>
    <w:p>
      <w:pPr>
        <w:spacing w:after="0" w:line="240" w:lineRule="auto"/>
        <w:jc w:val="both"/>
        <w:rPr>
          <w:rStyle w:val="15"/>
          <w:rFonts w:ascii="Liberation Sans" w:hAnsi="Liberation Sans" w:cs="Arial"/>
          <w:color w:val="000000"/>
          <w:sz w:val="24"/>
          <w:szCs w:val="24"/>
        </w:rPr>
      </w:pPr>
      <w:r>
        <w:rPr>
          <w:rFonts w:ascii="Liberation Sans" w:hAnsi="Liberation Sans" w:cs="Arial"/>
          <w:sz w:val="28"/>
          <w:szCs w:val="28"/>
        </w:rPr>
        <w:t xml:space="preserve">           </w:t>
      </w:r>
      <w:r>
        <w:rPr>
          <w:rStyle w:val="15"/>
          <w:rFonts w:ascii="Liberation Sans" w:hAnsi="Liberation Sans" w:cs="Arial"/>
          <w:color w:val="000000"/>
          <w:sz w:val="24"/>
          <w:szCs w:val="24"/>
        </w:rPr>
        <w:t>Деятельность финансового отдела Администрации Мишкинского</w:t>
      </w:r>
      <w:r>
        <w:rPr>
          <w:rFonts w:ascii="Liberation Sans" w:hAnsi="Liberation Sans" w:cs="Arial"/>
          <w:b/>
          <w:sz w:val="24"/>
          <w:szCs w:val="24"/>
        </w:rPr>
        <w:t xml:space="preserve">  </w:t>
      </w:r>
      <w:r>
        <w:rPr>
          <w:rStyle w:val="15"/>
          <w:rFonts w:ascii="Liberation Sans" w:hAnsi="Liberation Sans" w:cs="Arial"/>
          <w:color w:val="000000"/>
          <w:sz w:val="24"/>
          <w:szCs w:val="24"/>
        </w:rPr>
        <w:t xml:space="preserve"> района связана с осуществлением функций финансового органа муниципального образования Мишкинского района. Сфера деятельности финансового отдела  как финансового органа муниципального образования  определяется Бюджетным кодексом Российской Федерации, Положением о бюджетном процессе в Мишкинском районе, Положением о Финансовом отделе Администрации Мишкинского района и другими федеральными законами, иными нормативными правовыми актами Российской Федерации, законами и иными нормативными правовыми актами Курганской области и нормативными правовыми актами органов местного самоуправления Мишкинского района.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Финансовый отдел Администрации Мишкинского района в соответствии с утвержденным планом обеспечивал проведение единой налоговой и бюджетной политики на территории Мишкинского района, осуществлял функции по выработке и проведению муниципальной политики, муниципальному финансовому контролю в Мишкинском районе.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Проекты решений о бюджетах муниципальных образований на 2019 год с необходимыми документами и материалами сформированы в полном объеме в соответствии с бюджетным законодательством и внесены в установленные сроки на рассмотрение в Думу.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Проект решения о районном бюджете на 2019 год рассмотрен и утвержден решением Мишкинской районной Думы   от 25.12.2018 года №366 «О районном бюджете на 2019 год и на плановый период 2020 и 2021 годов». 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В 2019 году в установленные сроки сформирован и представлен в Финансовое управление Курганской области сводный реестр расходных обязательств Мишкинского района.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В целях организации исполнения бюджета в 2019 году сформированы роспись по доходам и расходам консолидированного бюджета Мишкинского района и районного бюджета, лимиты бюджетных обязательств, прогнозы кассовых выплат.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</w:t>
      </w:r>
      <w:r>
        <w:rPr>
          <w:rStyle w:val="15"/>
          <w:rFonts w:ascii="Liberation Sans" w:hAnsi="Liberation Sans" w:cs="Arial"/>
          <w:sz w:val="24"/>
          <w:szCs w:val="24"/>
        </w:rPr>
        <w:t>Для решения наиболее важных вопросов, требующих дополнительного финансирования, в течение года были подготовлены 5 изменений в решение о районном бюджете на 2019 год</w:t>
      </w:r>
      <w:r>
        <w:rPr>
          <w:rFonts w:ascii="Liberation Sans" w:hAnsi="Liberation Sans" w:cs="Arial"/>
          <w:sz w:val="24"/>
          <w:szCs w:val="24"/>
        </w:rPr>
        <w:t xml:space="preserve"> и на плановый период 2020 и 2021 годов</w:t>
      </w:r>
      <w:r>
        <w:rPr>
          <w:rStyle w:val="15"/>
          <w:rFonts w:ascii="Liberation Sans" w:hAnsi="Liberation Sans" w:cs="Arial"/>
          <w:sz w:val="24"/>
          <w:szCs w:val="24"/>
        </w:rPr>
        <w:t>, предусматривающие за счет дополнительных доходов и оптимизации (экономии) расходов районного бюджета дополнительные ассигнования на обеспечение деятельности муниципальных учреждений.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Style w:val="15"/>
          <w:rFonts w:ascii="Liberation Sans" w:hAnsi="Liberation Sans" w:cs="Arial"/>
          <w:sz w:val="24"/>
          <w:szCs w:val="24"/>
        </w:rPr>
        <w:t xml:space="preserve">           По результатам исполнения районного бюджета за 2019 год принятыми изменениями были увеличены плановые доходы по собственным доходным источникам на сумму 12 603,2 тыс. руб. или рост произошел на 20,8% (первоначальный план по собственным доходам составил – 60 536,5 тыс. руб., уточненный план – 73 139,7 тыс. руб.).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Style w:val="15"/>
          <w:rFonts w:ascii="Liberation Sans" w:hAnsi="Liberation Sans" w:cs="Arial"/>
          <w:sz w:val="24"/>
          <w:szCs w:val="24"/>
        </w:rPr>
        <w:t xml:space="preserve">           При исполнении местного бюджета в 2019 году соблюдены требования Бюджетного кодекса Российской Федерации в части предельных размеров дефицита бюджета, объема муниципального долга, расходов на обслуживание муниципального долга.</w:t>
      </w:r>
    </w:p>
    <w:p>
      <w:pPr>
        <w:spacing w:after="0" w:line="240" w:lineRule="auto"/>
        <w:jc w:val="both"/>
        <w:rPr>
          <w:rStyle w:val="15"/>
          <w:rFonts w:ascii="Liberation Sans" w:hAnsi="Liberation Sans" w:cs="Arial"/>
          <w:sz w:val="24"/>
          <w:szCs w:val="24"/>
        </w:rPr>
      </w:pPr>
      <w:r>
        <w:rPr>
          <w:rStyle w:val="15"/>
          <w:rFonts w:ascii="Liberation Sans" w:hAnsi="Liberation Sans" w:cs="Arial"/>
          <w:sz w:val="24"/>
          <w:szCs w:val="24"/>
        </w:rPr>
        <w:t xml:space="preserve">          По итогам исполнения районного бюджета профицит за 2019 год составил 8492,2</w:t>
      </w:r>
      <w:r>
        <w:rPr>
          <w:rStyle w:val="15"/>
          <w:rFonts w:ascii="Liberation Sans" w:hAnsi="Liberation Sans" w:cs="Arial"/>
          <w:b/>
          <w:sz w:val="24"/>
          <w:szCs w:val="24"/>
        </w:rPr>
        <w:t xml:space="preserve"> </w:t>
      </w:r>
      <w:r>
        <w:rPr>
          <w:rStyle w:val="15"/>
          <w:rFonts w:ascii="Liberation Sans" w:hAnsi="Liberation Sans" w:cs="Arial"/>
          <w:sz w:val="24"/>
          <w:szCs w:val="24"/>
        </w:rPr>
        <w:t>тыс. рублей</w:t>
      </w:r>
      <w:r>
        <w:rPr>
          <w:rStyle w:val="15"/>
          <w:rFonts w:ascii="Liberation Sans" w:hAnsi="Liberation Sans" w:cs="Arial"/>
          <w:b/>
          <w:sz w:val="24"/>
          <w:szCs w:val="24"/>
        </w:rPr>
        <w:t xml:space="preserve"> </w:t>
      </w:r>
      <w:r>
        <w:rPr>
          <w:rStyle w:val="15"/>
          <w:rFonts w:ascii="Liberation Sans" w:hAnsi="Liberation Sans" w:cs="Arial"/>
          <w:sz w:val="24"/>
          <w:szCs w:val="24"/>
        </w:rPr>
        <w:t>(при</w:t>
      </w:r>
      <w:r>
        <w:rPr>
          <w:rStyle w:val="15"/>
          <w:rFonts w:ascii="Liberation Sans" w:hAnsi="Liberation Sans" w:cs="Arial"/>
          <w:b/>
          <w:sz w:val="24"/>
          <w:szCs w:val="24"/>
        </w:rPr>
        <w:t xml:space="preserve"> </w:t>
      </w:r>
      <w:r>
        <w:rPr>
          <w:rStyle w:val="15"/>
          <w:rFonts w:ascii="Liberation Sans" w:hAnsi="Liberation Sans" w:cs="Arial"/>
          <w:sz w:val="24"/>
          <w:szCs w:val="24"/>
        </w:rPr>
        <w:t xml:space="preserve">плановом дефиците 1 453,5 тыс. руб.). </w:t>
      </w:r>
    </w:p>
    <w:p>
      <w:pPr>
        <w:spacing w:after="0" w:line="240" w:lineRule="auto"/>
        <w:jc w:val="both"/>
        <w:rPr>
          <w:rStyle w:val="15"/>
          <w:rFonts w:ascii="Liberation Sans" w:hAnsi="Liberation Sans" w:cs="Arial"/>
          <w:color w:val="000000"/>
          <w:sz w:val="24"/>
          <w:szCs w:val="24"/>
        </w:rPr>
      </w:pPr>
      <w:r>
        <w:rPr>
          <w:rStyle w:val="15"/>
          <w:rFonts w:ascii="Liberation Sans" w:hAnsi="Liberation Sans" w:cs="Arial"/>
          <w:color w:val="000000"/>
          <w:sz w:val="24"/>
          <w:szCs w:val="24"/>
        </w:rPr>
        <w:t xml:space="preserve">          Отчеты об исполнении районного бюджета за 1 квартал, 1 полугодие и 9 месяцев 2019 года утверждены Постановлениями Администрации Мишкинского района:</w:t>
      </w:r>
    </w:p>
    <w:p>
      <w:pPr>
        <w:spacing w:after="0" w:line="240" w:lineRule="auto"/>
        <w:jc w:val="both"/>
        <w:rPr>
          <w:rStyle w:val="15"/>
          <w:rFonts w:ascii="Liberation Sans" w:hAnsi="Liberation Sans" w:cs="Arial"/>
          <w:color w:val="000000"/>
          <w:sz w:val="24"/>
          <w:szCs w:val="24"/>
        </w:rPr>
      </w:pPr>
      <w:r>
        <w:rPr>
          <w:rStyle w:val="15"/>
          <w:rFonts w:ascii="Liberation Sans" w:hAnsi="Liberation Sans" w:cs="Arial"/>
          <w:color w:val="000000"/>
          <w:sz w:val="24"/>
          <w:szCs w:val="24"/>
        </w:rPr>
        <w:t>от 25 апреля 2019 года № 64 «Об исполнении районного бюджета за 1 квартал 2019 года»;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Style w:val="15"/>
          <w:rFonts w:ascii="Liberation Sans" w:hAnsi="Liberation Sans" w:cs="Arial"/>
          <w:color w:val="000000"/>
          <w:sz w:val="24"/>
          <w:szCs w:val="24"/>
        </w:rPr>
        <w:t>от 8 июля 2019 года № 87 «Об исполнении районного бюджета за 1 полугодие 2019 года»;</w:t>
      </w:r>
    </w:p>
    <w:p>
      <w:pPr>
        <w:spacing w:after="0" w:line="240" w:lineRule="auto"/>
        <w:jc w:val="both"/>
        <w:rPr>
          <w:rStyle w:val="15"/>
          <w:rFonts w:ascii="Liberation Sans" w:hAnsi="Liberation Sans" w:cs="Arial"/>
          <w:sz w:val="24"/>
          <w:szCs w:val="24"/>
        </w:rPr>
      </w:pPr>
      <w:r>
        <w:rPr>
          <w:rStyle w:val="15"/>
          <w:rFonts w:ascii="Liberation Sans" w:hAnsi="Liberation Sans" w:cs="Arial"/>
          <w:color w:val="000000"/>
          <w:sz w:val="24"/>
          <w:szCs w:val="24"/>
        </w:rPr>
        <w:t>от 10 октября 2019 года № 121 «Об исполнении районного бюджета за 9 месяцев 2019 года».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b/>
          <w:sz w:val="24"/>
          <w:szCs w:val="24"/>
        </w:rPr>
        <w:t xml:space="preserve">         </w:t>
      </w:r>
      <w:r>
        <w:rPr>
          <w:rFonts w:ascii="Liberation Sans" w:hAnsi="Liberation Sans" w:cs="Arial"/>
          <w:sz w:val="24"/>
          <w:szCs w:val="24"/>
        </w:rPr>
        <w:t>Консолидированный бюджет района за 2019 год исполнен по доходам в сумме 504839,65 тыс. рублей, что составило 98,6 % к годовым бюджетным назначениям.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b/>
          <w:sz w:val="24"/>
          <w:szCs w:val="24"/>
        </w:rPr>
        <w:t xml:space="preserve">           </w:t>
      </w:r>
      <w:r>
        <w:rPr>
          <w:rFonts w:ascii="Liberation Sans" w:hAnsi="Liberation Sans" w:cs="Arial"/>
          <w:sz w:val="24"/>
          <w:szCs w:val="24"/>
        </w:rPr>
        <w:t>В консолидированный бюджет собственных доходов поступило 109 652,7 тыс. рублей или 102,3% к уточненному плану. В сравнении с 2018 годом собственные доходы бюджета выросли на 12 472,9 тыс. рублей. Доля собственных доходов в общем объеме финансовых ресурсов бюджета в 2018 году составила 21,7% (в 2017 году – 22,5%, в 2018 году – 22,0%).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В структуре собственных доходов консолидированного бюджета за 2019 год 76 % занимают налоговые доходы, 16,5% - неналоговые доходы, 7,5 % - прочие безвозмездные поступления.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Основные доходные источники бюджета остались практически неизменными.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Наибольшая доля поступлений собственных доходов обеспечивается поступлениями от налога на доходы физических лиц 50%, акцизов на нефтепродукты – 11%, доходов от оказания платных услуг – 10%, земельного налога – 7%, доходов от использования имущества – 4%, единого налога на вмененный доход – 3%. 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В 2019 году была продолжена работа по сбору добровольных пожертвований от физических лиц. В результате в консолидированный бюджет района было привлечено 1060,6 тыс. руб. что ниже уровня прошлого года на 14,6%. 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Ведется работа с недобросовестными налогоплательщиками в рамках межведомственной комиссии по мобилизации собственных доходов. В результате работы комиссии за 2019 год взыскано в бюджет недоимки 322,8 тыс. рублей.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В бюджет района   поступило финансовой помощи из областного бюджета 395186,9 тыс. рублей при уточненном плане 404881,5 тыс. рублей или по сравнению с 2018 годом увеличение   на 39355,4 тыс. рублей. 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Бюджет Мишкинского района за 2019 год исполнен по расходам в сумме 496347,4 тыс. рублей или 95,9 % к уточненному бюджету.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На социально-значимые расходы: выплату заработной платы с начислениями работникам бюджетной сферы, оплату коммунальных услуг, приобретение котельно–печного топлива направлено   345124,0 тыс. рублей или 69,5 % от общего объема расходов. 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Расходы на условиях софинансирования: на ремонт автомобильных дорог, питание обучающихся из малоимущих семей составили 27144,0 тыс. рублей или 5,5 % от общего объема расходов.    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На другие расходы бюджета направлено 124079,4 тыс. рублей или 25 % от общего объема расходов. 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На 01.01.2020 г. кредиторская задолженность по бюджету Мишкинского района составила 9505 тыс. рублей, снижение к уровню 01.01.2019 г. на 15123 тыс. руб., в том числе просроченная кредиторская задолженность составляет 1634 тыс. руб. снижение к уровню 01.01.2019 г. на 13018 тыс.руб. (задолженность осталась по закупке товаров, работ, услуг для обеспечения нужд, в том числе областной бюджет – 401 тыс. руб. (учебники). Текущая задолженность составила 7871 тыс. руб. снижение на 2105 тыс. руб. (осталась задолженность по прочим расходам, в том числе задолженность областного бюджета 4188 тыс. руб. (ремонты объектов образования).</w:t>
      </w:r>
    </w:p>
    <w:p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В 2019 году финансовым отделом проведена определенная работа по оптимизации бюджетных расходов. </w:t>
      </w:r>
      <w:r>
        <w:rPr>
          <w:rFonts w:ascii="Liberation Sans" w:hAnsi="Liberation Sans" w:cs="Arial"/>
          <w:sz w:val="24"/>
          <w:szCs w:val="24"/>
        </w:rPr>
        <w:br w:type="textWrapping"/>
      </w:r>
      <w:r>
        <w:rPr>
          <w:rFonts w:ascii="Liberation Sans" w:hAnsi="Liberation Sans" w:cs="Arial"/>
          <w:sz w:val="24"/>
          <w:szCs w:val="24"/>
        </w:rPr>
        <w:t xml:space="preserve">          Осуществлялся постоянный контроль за расходованием фонда оплаты труда.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Фонд оплаты труда работников бюджетной сферы приведен в соответствие с согласованным с Финансовым управлением Курганской области.</w:t>
      </w:r>
    </w:p>
    <w:p>
      <w:pPr>
        <w:pStyle w:val="19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>
        <w:rPr>
          <w:rStyle w:val="15"/>
          <w:rFonts w:ascii="Liberation Sans" w:hAnsi="Liberation Sans" w:cs="Arial"/>
          <w:sz w:val="24"/>
          <w:szCs w:val="24"/>
        </w:rPr>
        <w:t xml:space="preserve">         </w:t>
      </w:r>
      <w:r>
        <w:rPr>
          <w:rFonts w:ascii="Liberation Sans" w:hAnsi="Liberation Sans"/>
          <w:sz w:val="24"/>
          <w:szCs w:val="24"/>
        </w:rPr>
        <w:t xml:space="preserve">Во исполнение поручения Президента РФ органами исполнительной власти Курганской власти подготовлены и согласованы соответствующие изменения в «дорожные карты». По последним данным средняя заработная плата по Курганской области за 2019 год составила 25797 рублей. Согласно «дорожной карте» средняя заработная плата педагогов общего и дошкольного образования, с мерами социальной поддержки, должна, составлять 25797 и 23336 рубля соответственно. За 2019 год средняя заработная плата по данным категориям по Мишкинскому району составила 25893 рублей и 24060 рублей, соответственно. Средняя заработная плата учителей прогнозировалась 25840 рублей, по Мишкинскому району за 2019 год средняя заработная плата составила – 25965 рублей. Зарплата педагогам дополнительного образования закреплена в размере 25840 рублей. По Мишкинскому району средняя заработная плата по данной категории (образование) за 2019 год составила 25930 рублей. </w:t>
      </w:r>
    </w:p>
    <w:p>
      <w:pPr>
        <w:pStyle w:val="19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 w:cs="Arial"/>
          <w:sz w:val="24"/>
          <w:szCs w:val="24"/>
        </w:rPr>
        <w:t xml:space="preserve">Целевой показатель средней заработной платы работников учреждений культуры на 2019 год установлен на уровне 100% от </w:t>
      </w:r>
      <w:r>
        <w:rPr>
          <w:rFonts w:ascii="Liberation Sans" w:hAnsi="Liberation Sans"/>
          <w:sz w:val="24"/>
          <w:szCs w:val="24"/>
        </w:rPr>
        <w:t>средней заработной платы по Курганской области на 2019 год и по итогам 2019 года должен составить 25797 рублей. За 2019 год средняя заработная плата по данной категории по Мишкинскому району составила 25797 рублей.</w:t>
      </w:r>
    </w:p>
    <w:p>
      <w:pPr>
        <w:pStyle w:val="19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Зарплата педагогам дополнительного образования в сфере культуры закреплена в размере 25840 рублей. По Мишкинскому району средняя заработная плата по данной категории за 2019 год составила 25857 рублей.</w:t>
      </w:r>
    </w:p>
    <w:p>
      <w:pPr>
        <w:pStyle w:val="19"/>
        <w:shd w:val="clear" w:color="auto" w:fill="auto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В целях обеспечения сбалансированности бюджета Мишкинского района, безусловного и своевременного исполнения социально значимых и долговых обязательств Мишкинского района 4 мая 2017 года №201-р распоряжением Администрации Мишкинского района принята Программа оздоровления муниципальных финансов на 2017 – 2019 годы.</w:t>
      </w:r>
    </w:p>
    <w:p>
      <w:pPr>
        <w:spacing w:after="0" w:line="240" w:lineRule="auto"/>
        <w:jc w:val="both"/>
        <w:rPr>
          <w:rStyle w:val="15"/>
          <w:rFonts w:ascii="Liberation Sans" w:hAnsi="Liberation Sans" w:cs="Arial"/>
          <w:color w:val="000000"/>
          <w:sz w:val="24"/>
          <w:szCs w:val="24"/>
        </w:rPr>
      </w:pPr>
      <w:r>
        <w:rPr>
          <w:rStyle w:val="15"/>
          <w:rFonts w:ascii="Liberation Sans" w:hAnsi="Liberation Sans" w:cs="Arial"/>
          <w:color w:val="000000"/>
          <w:sz w:val="24"/>
          <w:szCs w:val="24"/>
        </w:rPr>
        <w:t xml:space="preserve">          В целях сокращения расходов на содержание органов местного самоуправления Администрацией Мишкинского района приняты распоряжения:</w:t>
      </w:r>
    </w:p>
    <w:p>
      <w:pPr>
        <w:spacing w:after="0" w:line="240" w:lineRule="auto"/>
        <w:jc w:val="both"/>
        <w:rPr>
          <w:rStyle w:val="15"/>
          <w:rFonts w:ascii="Liberation Sans" w:hAnsi="Liberation Sans" w:cs="Arial"/>
          <w:sz w:val="24"/>
          <w:szCs w:val="24"/>
        </w:rPr>
      </w:pPr>
      <w:r>
        <w:rPr>
          <w:rStyle w:val="15"/>
          <w:rFonts w:ascii="Liberation Sans" w:hAnsi="Liberation Sans" w:cs="Arial"/>
          <w:color w:val="000000"/>
          <w:sz w:val="24"/>
          <w:szCs w:val="24"/>
        </w:rPr>
        <w:t xml:space="preserve"> от 27 декабря 2018 года № 755-р «О лимитах потребления коммунальных услуг и котельно-печного топлива на 2019 год»; от 7 ноября 2019 года №694-р «О внесении изменений в распоряжение Администрации Мишкинского района от 27 декабря 2018 года №755-р «О лимитах потребления коммунальных услуг и котельно-печного топлива на 2019 год».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Финансовый отдел в 2019 году продолжил осуществлять санкционирование и учет бюджетных обязательств.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В 2019 году финансовым отделом проведено 16 контрольных мероприятий. Ревизиями и проверками было охвачено 262451,7 тыс. руб. финансовых средств, все средства муниципальных учреждений.    </w:t>
      </w:r>
    </w:p>
    <w:p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Общая сумма выявленных нарушений составила 9314,14 тыс. рублей.</w:t>
      </w:r>
    </w:p>
    <w:p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Полномочиями по осуществлению внутреннего муниципального финансового контроля в сфере закупок, контроля в сфере размещения муниципального заказа наделен Финансовый отдел Администрации Мишкинского района. </w:t>
      </w:r>
    </w:p>
    <w:p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В рамках осуществления внутреннего муниципального финансового контроля, согласно плана контрольной деятельности по осуществлению контроля в сфере закупок за 2019 год проведено 6 проверок (в Администрации Дубровинского сельсовета, Администрации Краснознаменского сельсовета, Администрации Мишкинского  поссовета, Администрации Маслинского сельсовета, Администрации Коровинского сельсовета, Отделе культуры Администрации Мишкинского района). В результате проведенных контрольных мероприятий выявлены нарушения. Проверяемым сельсоветам, поссовету выданы предписания (представления) об устранении выявленных нарушений.</w:t>
      </w:r>
    </w:p>
    <w:p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Результаты контрольных мероприятий по соблюдению требований в сфере закупок в рамках внутреннего муниципального финансового контроля размещены на сайте госзакупок.</w:t>
      </w:r>
    </w:p>
    <w:p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В рамках осуществления контроля в сфере размещения муниципального заказа за 2019 год проведено 6 проверок (в Администрации Дубровинского сельсовета, Администрации Краснознаменского сельсовета, Администрации Мишкинского  поссовета, Администрации Маслинского сельсовета, Администрации Коровинского сельсовета, Отделе культуры Администрации Мишкинского района).</w:t>
      </w:r>
    </w:p>
    <w:p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По результатам проверки установлены нарушения сроков размещения в единой информационной системе в сфере закупок заказчиками планов закупок и планов-графиков, несвоевременное направление сведений в реестр контрактов информации о заключении, изменении, исполнении контракта, не утверждены нормативы затрат, превышение нормативов затрат и др.  </w:t>
      </w:r>
    </w:p>
    <w:p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Материалы 3 проверок (Администрации Дубровинского сельсовета, Отдела культуры Администрации Мишкинского района, Администрации Мишкинского поссовета) направлены в Департамент экономического развития Курганской области (уполномоченный орган контроля) для возбуждения дел об административной ответственности.</w:t>
      </w:r>
    </w:p>
    <w:p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Результаты контрольных мероприятий по соблюдению требований в сфере размещения муниципального заказа размещены на сайте госзакупок.</w:t>
      </w:r>
    </w:p>
    <w:p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В рамках контрольного мероприятия по заданию Прокуратуры проведена внеплановая проверка исполнения законодательства об образовании, в том числе при организации питания при осуществлении закупок для муниципальных образований в деятельности Муниципального отдела управления образованием Администрации Мишкинского района и проверка законодательства в сфере реализации приоритетного проекта «Формирование комфортной городской среды» в Администрации Мишкинского поссовета. </w:t>
      </w:r>
    </w:p>
    <w:p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По результатам проверки выявлено заключение нескольких контрактов с одним и тем же поставщиком на поставку продуктов питания, не утвержден порядок расчета нормативных затрат, нарушение сроков утверждения планов-закупок и планов-графиков  и др. </w:t>
      </w:r>
    </w:p>
    <w:p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В рамках осуществления проверки целевого использования бюджетных средств финансовым отделом Администрации Мишкинского района за 2019 год проведено 2 контрольных мероприятия (Администрация Маслинского сельсовета, Администрация Мишкинского поссовета). Нецелевого и незаконного использования бюджетных средств не установлено.</w:t>
      </w: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В результате проведенных контрольных мероприятий выявлены нарушения. Проверяемым сельсоветам, поссовету выданы предписания (представления) об устранении выявленных нарушений.</w:t>
      </w:r>
    </w:p>
    <w:p>
      <w:pPr>
        <w:rPr>
          <w:rFonts w:ascii="Arial" w:hAnsi="Arial" w:cs="Arial"/>
          <w:sz w:val="24"/>
          <w:szCs w:val="24"/>
        </w:rPr>
      </w:pPr>
    </w:p>
    <w:sectPr>
      <w:pgSz w:w="12240" w:h="15840"/>
      <w:pgMar w:top="851" w:right="758" w:bottom="709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A00002AF" w:usb1="500078FB" w:usb2="00000000" w:usb3="00000000" w:csb0="6000009F" w:csb1="DFD7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doNotTrackMoves/>
  <w:documentProtection w:enforcement="0"/>
  <w:defaultTabStop w:val="708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12"/>
    <w:rsid w:val="00001E0D"/>
    <w:rsid w:val="00083172"/>
    <w:rsid w:val="001E72E0"/>
    <w:rsid w:val="00281781"/>
    <w:rsid w:val="00294FC2"/>
    <w:rsid w:val="00426A37"/>
    <w:rsid w:val="004672C6"/>
    <w:rsid w:val="004E4160"/>
    <w:rsid w:val="006007D2"/>
    <w:rsid w:val="00651767"/>
    <w:rsid w:val="00663BE4"/>
    <w:rsid w:val="006C42AA"/>
    <w:rsid w:val="0085263F"/>
    <w:rsid w:val="00860E64"/>
    <w:rsid w:val="008E4A94"/>
    <w:rsid w:val="0090691E"/>
    <w:rsid w:val="00983035"/>
    <w:rsid w:val="00B714F5"/>
    <w:rsid w:val="00BE6DEB"/>
    <w:rsid w:val="00BF453A"/>
    <w:rsid w:val="00C1520A"/>
    <w:rsid w:val="00C26BC7"/>
    <w:rsid w:val="00CB3D01"/>
    <w:rsid w:val="00CD607E"/>
    <w:rsid w:val="00CE0E6D"/>
    <w:rsid w:val="00D10BA2"/>
    <w:rsid w:val="00D627DA"/>
    <w:rsid w:val="00D75DDA"/>
    <w:rsid w:val="00D77943"/>
    <w:rsid w:val="00EC504E"/>
    <w:rsid w:val="00EE7CE4"/>
    <w:rsid w:val="00F03112"/>
    <w:rsid w:val="00FA48A3"/>
    <w:rsid w:val="02A3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Body Text 2"/>
    <w:basedOn w:val="1"/>
    <w:link w:val="17"/>
    <w:uiPriority w:val="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5">
    <w:name w:val="Body Text"/>
    <w:basedOn w:val="1"/>
    <w:link w:val="15"/>
    <w:uiPriority w:val="0"/>
    <w:pPr>
      <w:widowControl w:val="0"/>
      <w:shd w:val="clear" w:color="auto" w:fill="FFFFFF"/>
      <w:spacing w:before="240" w:after="0" w:line="274" w:lineRule="exact"/>
      <w:jc w:val="both"/>
    </w:pPr>
    <w:rPr>
      <w:rFonts w:cs="Times New Roman"/>
      <w:sz w:val="23"/>
      <w:szCs w:val="23"/>
    </w:rPr>
  </w:style>
  <w:style w:type="paragraph" w:styleId="6">
    <w:name w:val="Title"/>
    <w:basedOn w:val="1"/>
    <w:link w:val="14"/>
    <w:qFormat/>
    <w:uiPriority w:val="0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7">
    <w:name w:val="Normal (Web)"/>
    <w:basedOn w:val="1"/>
    <w:uiPriority w:val="99"/>
    <w:pPr>
      <w:spacing w:before="100" w:beforeAutospacing="1" w:after="119" w:line="240" w:lineRule="auto"/>
    </w:pPr>
    <w:rPr>
      <w:sz w:val="24"/>
      <w:szCs w:val="24"/>
    </w:rPr>
  </w:style>
  <w:style w:type="character" w:customStyle="1" w:styleId="10">
    <w:name w:val="Заголовок 1 Знак"/>
    <w:link w:val="2"/>
    <w:qFormat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1">
    <w:name w:val="Текст выноски Знак"/>
    <w:link w:val="3"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99"/>
    <w:pPr>
      <w:ind w:left="720"/>
    </w:pPr>
  </w:style>
  <w:style w:type="paragraph" w:customStyle="1" w:styleId="13">
    <w:name w:val="Знак1"/>
    <w:basedOn w:val="1"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4">
    <w:name w:val="Название Знак"/>
    <w:link w:val="6"/>
    <w:uiPriority w:val="0"/>
    <w:rPr>
      <w:rFonts w:ascii="Arial" w:hAnsi="Arial" w:eastAsia="Times New Roman" w:cs="Arial"/>
      <w:b/>
      <w:sz w:val="24"/>
      <w:szCs w:val="24"/>
    </w:rPr>
  </w:style>
  <w:style w:type="character" w:customStyle="1" w:styleId="15">
    <w:name w:val="Основной текст Знак"/>
    <w:link w:val="5"/>
    <w:locked/>
    <w:uiPriority w:val="0"/>
    <w:rPr>
      <w:sz w:val="23"/>
      <w:szCs w:val="23"/>
      <w:shd w:val="clear" w:color="auto" w:fill="FFFFFF"/>
    </w:rPr>
  </w:style>
  <w:style w:type="character" w:customStyle="1" w:styleId="16">
    <w:name w:val="Основной текст Знак1"/>
    <w:semiHidden/>
    <w:uiPriority w:val="99"/>
    <w:rPr>
      <w:rFonts w:ascii="Calibri" w:hAnsi="Calibri" w:cs="Calibri"/>
    </w:rPr>
  </w:style>
  <w:style w:type="character" w:customStyle="1" w:styleId="17">
    <w:name w:val="Основной текст 2 Знак"/>
    <w:link w:val="4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Основной текст_"/>
    <w:link w:val="19"/>
    <w:uiPriority w:val="0"/>
    <w:rPr>
      <w:rFonts w:ascii="Arial" w:hAnsi="Arial" w:eastAsia="Arial"/>
      <w:sz w:val="26"/>
      <w:szCs w:val="26"/>
      <w:shd w:val="clear" w:color="auto" w:fill="FFFFFF"/>
    </w:rPr>
  </w:style>
  <w:style w:type="paragraph" w:customStyle="1" w:styleId="19">
    <w:name w:val="Основной текст2"/>
    <w:basedOn w:val="1"/>
    <w:link w:val="18"/>
    <w:uiPriority w:val="0"/>
    <w:pPr>
      <w:widowControl w:val="0"/>
      <w:shd w:val="clear" w:color="auto" w:fill="FFFFFF"/>
      <w:spacing w:after="300" w:line="324" w:lineRule="exact"/>
      <w:jc w:val="center"/>
    </w:pPr>
    <w:rPr>
      <w:rFonts w:ascii="Arial" w:hAnsi="Arial" w:eastAsia="Arial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</Company>
  <Pages>5</Pages>
  <Words>2056</Words>
  <Characters>11725</Characters>
  <Lines>97</Lines>
  <Paragraphs>27</Paragraphs>
  <TotalTime>530</TotalTime>
  <ScaleCrop>false</ScaleCrop>
  <LinksUpToDate>false</LinksUpToDate>
  <CharactersWithSpaces>13754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2014-03-31T02:30:00Z</dcterms:created>
  <dc:creator>Юрист</dc:creator>
  <cp:lastModifiedBy>google1569340330</cp:lastModifiedBy>
  <cp:lastPrinted>2020-01-22T10:10:00Z</cp:lastPrinted>
  <dcterms:modified xsi:type="dcterms:W3CDTF">2020-01-23T08:56:38Z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