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B3" w:rsidRDefault="00E617B3" w:rsidP="00E617B3">
      <w:pPr>
        <w:pStyle w:val="a4"/>
        <w:jc w:val="right"/>
        <w:rPr>
          <w:rFonts w:ascii="Liberation Sans" w:hAnsi="Liberation Sans" w:cs="Arial"/>
        </w:rPr>
      </w:pPr>
      <w:r>
        <w:rPr>
          <w:rStyle w:val="fontstyle01"/>
          <w:rFonts w:ascii="Liberation Sans" w:hAnsi="Liberation Sans"/>
        </w:rPr>
        <w:t>Приложение 2</w:t>
      </w:r>
      <w:r>
        <w:rPr>
          <w:rFonts w:ascii="Liberation Sans" w:hAnsi="Liberation Sans"/>
        </w:rPr>
        <w:br/>
      </w:r>
      <w:r>
        <w:rPr>
          <w:rStyle w:val="fontstyle01"/>
          <w:rFonts w:ascii="Liberation Sans" w:hAnsi="Liberation Sans"/>
        </w:rPr>
        <w:t>к распоряжению</w:t>
      </w:r>
      <w:r>
        <w:rPr>
          <w:rFonts w:ascii="Liberation Sans" w:hAnsi="Liberation Sans"/>
        </w:rPr>
        <w:br/>
      </w:r>
      <w:r>
        <w:rPr>
          <w:rStyle w:val="fontstyle01"/>
          <w:rFonts w:ascii="Liberation Sans" w:hAnsi="Liberation Sans"/>
        </w:rPr>
        <w:t>Администрации Мишкинского района</w:t>
      </w:r>
      <w:r>
        <w:rPr>
          <w:rFonts w:ascii="Liberation Sans" w:hAnsi="Liberation Sans" w:cs="Arial"/>
        </w:rPr>
        <w:t xml:space="preserve"> </w:t>
      </w:r>
    </w:p>
    <w:p w:rsidR="00E617B3" w:rsidRDefault="00E617B3" w:rsidP="00E617B3">
      <w:pPr>
        <w:pStyle w:val="a4"/>
        <w:jc w:val="right"/>
        <w:rPr>
          <w:rStyle w:val="fontstyle01"/>
          <w:rFonts w:ascii="Liberation Sans" w:hAnsi="Liberation Sans"/>
          <w:color w:val="FF0000"/>
        </w:rPr>
      </w:pPr>
      <w:r>
        <w:rPr>
          <w:rStyle w:val="fontstyle01"/>
          <w:rFonts w:ascii="Liberation Sans" w:hAnsi="Liberation Sans"/>
          <w:color w:val="FF0000"/>
        </w:rPr>
        <w:t>от «</w:t>
      </w:r>
      <w:r w:rsidR="00923D05">
        <w:rPr>
          <w:rStyle w:val="fontstyle01"/>
          <w:rFonts w:ascii="Liberation Sans" w:hAnsi="Liberation Sans"/>
          <w:color w:val="FF0000"/>
        </w:rPr>
        <w:t>30</w:t>
      </w:r>
      <w:r>
        <w:rPr>
          <w:rStyle w:val="fontstyle01"/>
          <w:rFonts w:ascii="Liberation Sans" w:hAnsi="Liberation Sans"/>
          <w:color w:val="FF0000"/>
        </w:rPr>
        <w:t>»</w:t>
      </w:r>
      <w:r w:rsidR="00923D05">
        <w:rPr>
          <w:rStyle w:val="fontstyle01"/>
          <w:rFonts w:ascii="Liberation Sans" w:hAnsi="Liberation Sans"/>
          <w:color w:val="FF0000"/>
        </w:rPr>
        <w:t xml:space="preserve"> декабря </w:t>
      </w:r>
      <w:r>
        <w:rPr>
          <w:rStyle w:val="fontstyle01"/>
          <w:rFonts w:ascii="Liberation Sans" w:hAnsi="Liberation Sans"/>
          <w:color w:val="FF0000"/>
        </w:rPr>
        <w:t>2021 №</w:t>
      </w:r>
      <w:r w:rsidR="00923D05">
        <w:rPr>
          <w:rStyle w:val="fontstyle01"/>
          <w:rFonts w:ascii="Liberation Sans" w:hAnsi="Liberation Sans"/>
          <w:color w:val="FF0000"/>
        </w:rPr>
        <w:t>677-р</w:t>
      </w:r>
    </w:p>
    <w:p w:rsidR="00E617B3" w:rsidRDefault="00E617B3" w:rsidP="00E617B3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Fonts w:ascii="Liberation Sans" w:hAnsi="Liberation Sans" w:cs="Arial"/>
        </w:rPr>
        <w:t>«</w:t>
      </w:r>
      <w:r>
        <w:rPr>
          <w:rFonts w:ascii="Liberation Sans" w:hAnsi="Liberation Sans"/>
        </w:rPr>
        <w:t xml:space="preserve">Об  утверждении  </w:t>
      </w:r>
      <w:r>
        <w:rPr>
          <w:rStyle w:val="fontstyle01"/>
          <w:rFonts w:ascii="Liberation Sans" w:hAnsi="Liberation Sans"/>
        </w:rPr>
        <w:t xml:space="preserve">плана мероприятий (дорожной карты) по снижению </w:t>
      </w:r>
      <w:proofErr w:type="spellStart"/>
      <w:r>
        <w:rPr>
          <w:rStyle w:val="fontstyle01"/>
          <w:rFonts w:ascii="Liberation Sans" w:hAnsi="Liberation Sans"/>
        </w:rPr>
        <w:t>комплаенс-рисков</w:t>
      </w:r>
      <w:proofErr w:type="spellEnd"/>
      <w:r>
        <w:rPr>
          <w:rStyle w:val="fontstyle01"/>
          <w:rFonts w:ascii="Liberation Sans" w:hAnsi="Liberation Sans"/>
        </w:rPr>
        <w:t xml:space="preserve"> </w:t>
      </w:r>
    </w:p>
    <w:p w:rsidR="00E617B3" w:rsidRDefault="00E617B3" w:rsidP="00E617B3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в </w:t>
      </w:r>
      <w:r>
        <w:rPr>
          <w:rFonts w:ascii="Liberation Sans" w:hAnsi="Liberation Sans"/>
          <w:bCs/>
        </w:rPr>
        <w:t>Администрации Мишкинского района</w:t>
      </w:r>
      <w:r>
        <w:rPr>
          <w:rStyle w:val="fontstyle01"/>
          <w:rFonts w:ascii="Liberation Sans" w:hAnsi="Liberation Sans"/>
        </w:rPr>
        <w:t xml:space="preserve"> на 2022 год, карты </w:t>
      </w:r>
      <w:proofErr w:type="spellStart"/>
      <w:r>
        <w:rPr>
          <w:rStyle w:val="fontstyle01"/>
          <w:rFonts w:ascii="Liberation Sans" w:hAnsi="Liberation Sans"/>
        </w:rPr>
        <w:t>комплаенс-рисков</w:t>
      </w:r>
      <w:proofErr w:type="spellEnd"/>
      <w:r>
        <w:rPr>
          <w:rStyle w:val="fontstyle01"/>
          <w:rFonts w:ascii="Liberation Sans" w:hAnsi="Liberation Sans"/>
        </w:rPr>
        <w:t xml:space="preserve">, </w:t>
      </w:r>
    </w:p>
    <w:p w:rsidR="00E617B3" w:rsidRDefault="00E617B3" w:rsidP="00E617B3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методики расчёта ключевых показателей эффективности функционирования </w:t>
      </w:r>
    </w:p>
    <w:p w:rsidR="00B81852" w:rsidRPr="00D70C53" w:rsidRDefault="00E617B3" w:rsidP="00E617B3">
      <w:pPr>
        <w:spacing w:after="0" w:line="240" w:lineRule="auto"/>
        <w:jc w:val="right"/>
        <w:rPr>
          <w:rFonts w:ascii="Liberation Sans" w:hAnsi="Liberation Sans" w:cs="Times New Roman"/>
        </w:rPr>
      </w:pPr>
      <w:r>
        <w:rPr>
          <w:rStyle w:val="fontstyle01"/>
          <w:rFonts w:ascii="Liberation Sans" w:hAnsi="Liberation Sans"/>
        </w:rPr>
        <w:t xml:space="preserve">антимонопольного </w:t>
      </w:r>
      <w:proofErr w:type="spellStart"/>
      <w:r>
        <w:rPr>
          <w:rStyle w:val="fontstyle01"/>
          <w:rFonts w:ascii="Liberation Sans" w:hAnsi="Liberation Sans"/>
        </w:rPr>
        <w:t>комплаенса</w:t>
      </w:r>
      <w:proofErr w:type="spellEnd"/>
      <w:r>
        <w:rPr>
          <w:rFonts w:ascii="Liberation Sans" w:hAnsi="Liberation Sans"/>
        </w:rPr>
        <w:t>»</w:t>
      </w:r>
    </w:p>
    <w:p w:rsidR="00942EF1" w:rsidRPr="00D70C53" w:rsidRDefault="00942EF1" w:rsidP="00AD5582">
      <w:pPr>
        <w:spacing w:after="0" w:line="240" w:lineRule="auto"/>
        <w:jc w:val="right"/>
        <w:rPr>
          <w:rFonts w:ascii="Liberation Sans" w:hAnsi="Liberation Sans" w:cs="Times New Roman"/>
        </w:rPr>
      </w:pPr>
    </w:p>
    <w:p w:rsidR="00AD5582" w:rsidRPr="00D70C53" w:rsidRDefault="00AD5582" w:rsidP="00932A44">
      <w:pPr>
        <w:spacing w:after="0" w:line="240" w:lineRule="auto"/>
        <w:jc w:val="center"/>
        <w:rPr>
          <w:rFonts w:ascii="Liberation Sans" w:hAnsi="Liberation Sans" w:cs="Times New Roman"/>
        </w:rPr>
      </w:pPr>
    </w:p>
    <w:p w:rsidR="002467AB" w:rsidRPr="002C4986" w:rsidRDefault="00362482" w:rsidP="00932A44">
      <w:pPr>
        <w:spacing w:after="0" w:line="240" w:lineRule="auto"/>
        <w:jc w:val="center"/>
        <w:rPr>
          <w:rFonts w:ascii="Liberation Sans" w:hAnsi="Liberation Sans" w:cs="Times New Roman"/>
          <w:sz w:val="24"/>
          <w:szCs w:val="24"/>
        </w:rPr>
      </w:pPr>
      <w:r w:rsidRPr="002C4986">
        <w:rPr>
          <w:rFonts w:ascii="Liberation Sans" w:hAnsi="Liberation Sans" w:cs="Times New Roman"/>
          <w:sz w:val="24"/>
          <w:szCs w:val="24"/>
        </w:rPr>
        <w:t>КАРТА</w:t>
      </w:r>
      <w:r w:rsidR="00932A44" w:rsidRPr="002C4986">
        <w:rPr>
          <w:rFonts w:ascii="Liberation Sans" w:hAnsi="Liberation Sans" w:cs="Times New Roman"/>
          <w:sz w:val="24"/>
          <w:szCs w:val="24"/>
        </w:rPr>
        <w:t xml:space="preserve"> КОМПЛАЕНС-РИСКОВ</w:t>
      </w:r>
    </w:p>
    <w:p w:rsidR="00932A44" w:rsidRPr="002C4986" w:rsidRDefault="00362482" w:rsidP="00362482">
      <w:pPr>
        <w:spacing w:after="0" w:line="240" w:lineRule="auto"/>
        <w:jc w:val="center"/>
        <w:rPr>
          <w:rFonts w:ascii="Liberation Sans" w:hAnsi="Liberation Sans" w:cs="Times New Roman"/>
          <w:sz w:val="24"/>
          <w:szCs w:val="24"/>
        </w:rPr>
      </w:pPr>
      <w:r w:rsidRPr="002C4986">
        <w:rPr>
          <w:rFonts w:ascii="Liberation Sans" w:hAnsi="Liberation Sans" w:cs="Times New Roman"/>
          <w:sz w:val="24"/>
          <w:szCs w:val="24"/>
        </w:rPr>
        <w:t xml:space="preserve">Администрация Мишкинского района Курганской области </w:t>
      </w:r>
    </w:p>
    <w:p w:rsidR="002C4986" w:rsidRPr="002C4986" w:rsidRDefault="002C4986" w:rsidP="00362482">
      <w:pPr>
        <w:spacing w:after="0" w:line="240" w:lineRule="auto"/>
        <w:jc w:val="center"/>
        <w:rPr>
          <w:rFonts w:ascii="Liberation Sans" w:hAnsi="Liberation Sans" w:cs="Times New Roman"/>
          <w:sz w:val="24"/>
          <w:szCs w:val="24"/>
        </w:rPr>
      </w:pPr>
    </w:p>
    <w:p w:rsidR="00942EF1" w:rsidRPr="00D70C53" w:rsidRDefault="00942EF1" w:rsidP="00932A44">
      <w:pPr>
        <w:spacing w:after="0" w:line="240" w:lineRule="auto"/>
        <w:rPr>
          <w:rFonts w:ascii="Liberation Sans" w:hAnsi="Liberation Sans" w:cs="Times New Roman"/>
        </w:rPr>
      </w:pPr>
    </w:p>
    <w:p w:rsidR="00932A44" w:rsidRPr="00D70C53" w:rsidRDefault="00932A44" w:rsidP="00932A44">
      <w:pPr>
        <w:spacing w:after="0" w:line="240" w:lineRule="auto"/>
        <w:rPr>
          <w:rFonts w:ascii="Liberation Sans" w:hAnsi="Liberation Sans" w:cs="Times New Roman"/>
        </w:rPr>
      </w:pPr>
    </w:p>
    <w:tbl>
      <w:tblPr>
        <w:tblStyle w:val="a3"/>
        <w:tblW w:w="14850" w:type="dxa"/>
        <w:tblLook w:val="04A0"/>
      </w:tblPr>
      <w:tblGrid>
        <w:gridCol w:w="1355"/>
        <w:gridCol w:w="2304"/>
        <w:gridCol w:w="4383"/>
        <w:gridCol w:w="3183"/>
        <w:gridCol w:w="1812"/>
        <w:gridCol w:w="1813"/>
      </w:tblGrid>
      <w:tr w:rsidR="00046939" w:rsidRPr="00D70C53" w:rsidTr="00046939">
        <w:trPr>
          <w:trHeight w:val="782"/>
        </w:trPr>
        <w:tc>
          <w:tcPr>
            <w:tcW w:w="1355" w:type="dxa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Уровень риска</w:t>
            </w:r>
          </w:p>
        </w:tc>
        <w:tc>
          <w:tcPr>
            <w:tcW w:w="2304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Вид риска (описание)</w:t>
            </w:r>
          </w:p>
        </w:tc>
        <w:tc>
          <w:tcPr>
            <w:tcW w:w="4383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Причины и условия возникновения (описание)</w:t>
            </w:r>
          </w:p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</w:p>
        </w:tc>
        <w:tc>
          <w:tcPr>
            <w:tcW w:w="3183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Наличие (отсутствие) остаточных рисков</w:t>
            </w:r>
          </w:p>
        </w:tc>
        <w:tc>
          <w:tcPr>
            <w:tcW w:w="1812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eastAsia="Times New Roman" w:hAnsi="Liberation Sans" w:cs="Arial"/>
                <w:b/>
                <w:bCs/>
                <w:color w:val="000000"/>
              </w:rPr>
              <w:t>Наличие (отсутствие) остаточных рисков</w:t>
            </w:r>
          </w:p>
        </w:tc>
        <w:tc>
          <w:tcPr>
            <w:tcW w:w="1813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Вероятность повторного возникновения рисков</w:t>
            </w:r>
          </w:p>
        </w:tc>
      </w:tr>
      <w:tr w:rsidR="00046939" w:rsidRPr="00D70C53" w:rsidTr="00046939">
        <w:trPr>
          <w:trHeight w:val="1158"/>
        </w:trPr>
        <w:tc>
          <w:tcPr>
            <w:tcW w:w="1355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низкий</w:t>
            </w:r>
          </w:p>
        </w:tc>
        <w:tc>
          <w:tcPr>
            <w:tcW w:w="2304" w:type="dxa"/>
          </w:tcPr>
          <w:p w:rsidR="00046939" w:rsidRPr="00D70C53" w:rsidRDefault="00046939" w:rsidP="004168AC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Нарушение срока предоставления 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и муниципальных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.</w:t>
            </w:r>
          </w:p>
        </w:tc>
        <w:tc>
          <w:tcPr>
            <w:tcW w:w="4383" w:type="dxa"/>
          </w:tcPr>
          <w:p w:rsidR="00046939" w:rsidRPr="00D70C53" w:rsidRDefault="00046939" w:rsidP="00AD5582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1. Ослабление </w:t>
            </w:r>
            <w:proofErr w:type="gramStart"/>
            <w:r w:rsidRPr="00D70C53">
              <w:rPr>
                <w:rFonts w:ascii="Liberation Sans" w:eastAsia="Times New Roman" w:hAnsi="Liberation Sans" w:cs="Arial"/>
                <w:color w:val="000000"/>
              </w:rPr>
              <w:t>контроля за</w:t>
            </w:r>
            <w:proofErr w:type="gramEnd"/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 процедурой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и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Недобросовестное или небрежное отношения сотрудника к службе либо обязанностей по должности.</w:t>
            </w:r>
          </w:p>
        </w:tc>
        <w:tc>
          <w:tcPr>
            <w:tcW w:w="3183" w:type="dxa"/>
          </w:tcPr>
          <w:p w:rsidR="00046939" w:rsidRPr="00D70C53" w:rsidRDefault="00046939" w:rsidP="00046939">
            <w:pPr>
              <w:rPr>
                <w:rFonts w:ascii="Liberation Sans" w:hAnsi="Liberation Sans" w:cs="Times New Roman"/>
              </w:rPr>
            </w:pPr>
            <w:bookmarkStart w:id="0" w:name="_GoBack"/>
            <w:bookmarkEnd w:id="0"/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1. Осуществление текущего контроля предоставления государственных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и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Совершенствование механизмов контроля.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Обучение ответственных сотрудников.</w:t>
            </w:r>
          </w:p>
        </w:tc>
        <w:tc>
          <w:tcPr>
            <w:tcW w:w="1812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отсутствуют</w:t>
            </w:r>
          </w:p>
        </w:tc>
        <w:tc>
          <w:tcPr>
            <w:tcW w:w="1813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  <w:tr w:rsidR="00046939" w:rsidRPr="00D70C53" w:rsidTr="00D17A4C">
        <w:tc>
          <w:tcPr>
            <w:tcW w:w="1355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</w:p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</w:p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низкий</w:t>
            </w:r>
          </w:p>
        </w:tc>
        <w:tc>
          <w:tcPr>
            <w:tcW w:w="2304" w:type="dxa"/>
          </w:tcPr>
          <w:p w:rsidR="00046939" w:rsidRPr="00D70C53" w:rsidRDefault="00046939" w:rsidP="004168AC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Отказ в предоставлении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ых,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,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по основаниям, не предусмотренным административным регламентом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ых,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услуг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.</w:t>
            </w:r>
          </w:p>
        </w:tc>
        <w:tc>
          <w:tcPr>
            <w:tcW w:w="4383" w:type="dxa"/>
          </w:tcPr>
          <w:p w:rsidR="004168AC" w:rsidRDefault="00046939" w:rsidP="004168AC">
            <w:pPr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 xml:space="preserve">1. Ослабление </w:t>
            </w:r>
            <w:proofErr w:type="gramStart"/>
            <w:r w:rsidRPr="00D70C53">
              <w:rPr>
                <w:rFonts w:ascii="Liberation Sans" w:eastAsia="Times New Roman" w:hAnsi="Liberation Sans" w:cs="Arial"/>
                <w:color w:val="000000"/>
              </w:rPr>
              <w:t>контроля за</w:t>
            </w:r>
            <w:proofErr w:type="gramEnd"/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 процедурой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ых,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. </w:t>
            </w:r>
          </w:p>
          <w:p w:rsidR="00046939" w:rsidRPr="00D70C53" w:rsidRDefault="00046939" w:rsidP="004168AC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2. Недобросовестное или небрежное отношения сотрудника к службе либо обязанностей по должности.</w:t>
            </w:r>
          </w:p>
        </w:tc>
        <w:tc>
          <w:tcPr>
            <w:tcW w:w="3183" w:type="dxa"/>
          </w:tcPr>
          <w:p w:rsidR="00046939" w:rsidRPr="00D70C53" w:rsidRDefault="00046939" w:rsidP="004168AC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1. Осуществление текущего контроля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ых,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Совершенствование механизмов контроля.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Обучение ответственных сотрудников.</w:t>
            </w:r>
          </w:p>
        </w:tc>
        <w:tc>
          <w:tcPr>
            <w:tcW w:w="1812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отсутствуют</w:t>
            </w:r>
          </w:p>
        </w:tc>
        <w:tc>
          <w:tcPr>
            <w:tcW w:w="1813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  <w:tr w:rsidR="00D70C53" w:rsidRPr="00D70C53" w:rsidTr="00891E92">
        <w:tc>
          <w:tcPr>
            <w:tcW w:w="1355" w:type="dxa"/>
          </w:tcPr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низкий</w:t>
            </w:r>
          </w:p>
        </w:tc>
        <w:tc>
          <w:tcPr>
            <w:tcW w:w="2304" w:type="dxa"/>
          </w:tcPr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Нарушения при осуществлении закупок товаров, работ, услуг для обеспечения государственных нужд в соответствии с Федеральный закон от 05.04.2013 N 44-ФЗ, которые привели к ограничению конкуренции</w:t>
            </w:r>
          </w:p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</w:p>
        </w:tc>
        <w:tc>
          <w:tcPr>
            <w:tcW w:w="4383" w:type="dxa"/>
          </w:tcPr>
          <w:p w:rsidR="00D70C53" w:rsidRPr="00D70C53" w:rsidRDefault="00D70C53" w:rsidP="00AD5582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1. 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если такие требования влекут за собой ограничение количества участников закупки.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Нарушения порядка определения и обоснования начальной (максимальной) цены контракта.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Взаимодействие сотрудников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,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 ответственных за подготовку документации о закупке, участвующих в процедуре определения подрядчика, поставщика, исполнителя по государственным контрактам с хозяйствующими субъектами с целью предоставления доступа к информации в приоритетном порядке. 4. Принятие решения, нарушающего единообразие практики, которое приводит или может привести к недопущению, ограничению или устранению конкуренции.</w:t>
            </w:r>
          </w:p>
        </w:tc>
        <w:tc>
          <w:tcPr>
            <w:tcW w:w="3183" w:type="dxa"/>
          </w:tcPr>
          <w:p w:rsidR="00D70C53" w:rsidRPr="00D70C53" w:rsidRDefault="00D70C53" w:rsidP="00932A44">
            <w:pPr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1. Осуществление текущего контроля закупочной деятельности.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Совершенствование механизмов контроля.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Обучение ответственных сотрудников.</w:t>
            </w:r>
          </w:p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4. Исключение взаимодействия сотрудников ответственных за подготовку документации, участвующих в процедуре определения подрядчика, поставщика, исполнителя по государственным контрактам с хозяйствующими субъектами.</w:t>
            </w:r>
          </w:p>
        </w:tc>
        <w:tc>
          <w:tcPr>
            <w:tcW w:w="1812" w:type="dxa"/>
          </w:tcPr>
          <w:p w:rsidR="00D70C53" w:rsidRPr="00D70C53" w:rsidRDefault="00D70C53" w:rsidP="00B35B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отсутствуют</w:t>
            </w:r>
          </w:p>
        </w:tc>
        <w:tc>
          <w:tcPr>
            <w:tcW w:w="1813" w:type="dxa"/>
          </w:tcPr>
          <w:p w:rsidR="00D70C53" w:rsidRPr="00D70C53" w:rsidRDefault="00D70C53" w:rsidP="00B35B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  <w:tr w:rsidR="00D70C53" w:rsidRPr="00D70C53" w:rsidTr="00891E92">
        <w:tc>
          <w:tcPr>
            <w:tcW w:w="1355" w:type="dxa"/>
          </w:tcPr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низкий</w:t>
            </w:r>
          </w:p>
        </w:tc>
        <w:tc>
          <w:tcPr>
            <w:tcW w:w="2304" w:type="dxa"/>
          </w:tcPr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Осуществление действий (бездействия), которые приводят или могут привести к недопущению, ограничению, устранению конкуренции, за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исключением предусмотренных федеральными законами случаев принятия актов и (или) осуществления таких действий (бездействия).</w:t>
            </w:r>
          </w:p>
        </w:tc>
        <w:tc>
          <w:tcPr>
            <w:tcW w:w="4383" w:type="dxa"/>
          </w:tcPr>
          <w:p w:rsidR="00D70C53" w:rsidRPr="00D70C53" w:rsidRDefault="00D70C53" w:rsidP="004168AC">
            <w:pPr>
              <w:spacing w:before="120" w:after="312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1. Введение ограничений в отношении создания хозяйствующих субъектов,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 xml:space="preserve">2. Необоснованное препятствование осуществлению деятельности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хозяйствующих субъектов.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Установление ограничений прав хозяйствующих субъектов на продажу, покупку, иное приобретение, обмен товаров.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4. Дача хозяйствующим субъектам указаний о первоочередных поставках товаров для определенной категории покупателей (заказчиков) или о заключении в приоритетном порядке договоров.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5. Установление для приобретателей товаров ограничений выбора хозяйствующих субъектов, которые предоставляют такие товары.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6. Предоставление хозяйствующему субъекту доступа к информации в приоритетном порядке.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7. Предоставление преференции.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8. Создание дискриминационных условий.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 xml:space="preserve">9. Установление и (или) взимание не предусмотренных законодательством РФ платежей при предоставлении государственных услуг, а также услуг, которые являются необходимыми и обязательными для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ых,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10. Дача хозяйствующим субъектам указаний о приобретении товара, за исключением случаев, предусмотренных законодательством РФ.</w:t>
            </w:r>
          </w:p>
        </w:tc>
        <w:tc>
          <w:tcPr>
            <w:tcW w:w="3183" w:type="dxa"/>
          </w:tcPr>
          <w:p w:rsidR="00D70C53" w:rsidRPr="00D70C53" w:rsidRDefault="00D70C53" w:rsidP="00B35B44">
            <w:pPr>
              <w:spacing w:before="120" w:after="312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 xml:space="preserve">1. Совершенствование системы </w:t>
            </w:r>
            <w:proofErr w:type="gramStart"/>
            <w:r w:rsidRPr="00D70C53">
              <w:rPr>
                <w:rFonts w:ascii="Liberation Sans" w:eastAsia="Times New Roman" w:hAnsi="Liberation Sans" w:cs="Arial"/>
                <w:color w:val="000000"/>
              </w:rPr>
              <w:t>контроля за</w:t>
            </w:r>
            <w:proofErr w:type="gramEnd"/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 соблюдением действующего антимонопольного законодательства.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Анализ выявленных нарушений антимонопольного законодательства.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3. Анализ нормативных правовых актов и проектов нормативных правовых актов, при необходимости – инициирование внесения в них изменений и дополнений.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4. Мониторинг и анализ практики применения антимонопольного законодательства.</w:t>
            </w:r>
          </w:p>
        </w:tc>
        <w:tc>
          <w:tcPr>
            <w:tcW w:w="1812" w:type="dxa"/>
          </w:tcPr>
          <w:p w:rsidR="00D70C53" w:rsidRPr="00D70C53" w:rsidRDefault="00D70C53" w:rsidP="00B35B44">
            <w:pPr>
              <w:spacing w:before="120" w:after="312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отсутствуют</w:t>
            </w:r>
          </w:p>
        </w:tc>
        <w:tc>
          <w:tcPr>
            <w:tcW w:w="1813" w:type="dxa"/>
          </w:tcPr>
          <w:p w:rsidR="00D70C53" w:rsidRPr="00D70C53" w:rsidRDefault="00D70C53" w:rsidP="00B35B44">
            <w:pPr>
              <w:spacing w:before="120" w:after="312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  <w:tr w:rsidR="00D70C53" w:rsidRPr="00D70C53" w:rsidTr="00891E92">
        <w:tc>
          <w:tcPr>
            <w:tcW w:w="1355" w:type="dxa"/>
          </w:tcPr>
          <w:p w:rsidR="00D70C53" w:rsidRPr="00D70C53" w:rsidRDefault="00D70C53" w:rsidP="00932A44">
            <w:pPr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низкий</w:t>
            </w:r>
          </w:p>
        </w:tc>
        <w:tc>
          <w:tcPr>
            <w:tcW w:w="2304" w:type="dxa"/>
          </w:tcPr>
          <w:p w:rsidR="00D70C53" w:rsidRPr="00D70C53" w:rsidRDefault="00D70C53" w:rsidP="00D70C53">
            <w:pPr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 w:themeColor="text1"/>
              </w:rPr>
              <w:t xml:space="preserve">Нарушения при организации и проведении конкурсов на право </w:t>
            </w:r>
            <w:r w:rsidRPr="00D70C53">
              <w:rPr>
                <w:rFonts w:ascii="Liberation Sans" w:eastAsia="Times New Roman" w:hAnsi="Liberation Sans" w:cs="Arial"/>
                <w:color w:val="000000" w:themeColor="text1"/>
              </w:rPr>
              <w:lastRenderedPageBreak/>
              <w:t xml:space="preserve">заключения на безвозмездной основе договоров на реализацию социальных программ (проектов) по организации </w:t>
            </w:r>
            <w:proofErr w:type="spellStart"/>
            <w:r w:rsidRPr="00D70C53">
              <w:rPr>
                <w:rFonts w:ascii="Liberation Sans" w:eastAsia="Times New Roman" w:hAnsi="Liberation Sans" w:cs="Arial"/>
                <w:color w:val="000000" w:themeColor="text1"/>
              </w:rPr>
              <w:t>досуговой</w:t>
            </w:r>
            <w:proofErr w:type="spellEnd"/>
            <w:r w:rsidRPr="00D70C53">
              <w:rPr>
                <w:rFonts w:ascii="Liberation Sans" w:eastAsia="Times New Roman" w:hAnsi="Liberation Sans" w:cs="Arial"/>
                <w:color w:val="000000" w:themeColor="text1"/>
              </w:rPr>
              <w:t>, социально-воспитательной, физкультурно-оздоровительной и спортивной работы с населением.</w:t>
            </w:r>
          </w:p>
        </w:tc>
        <w:tc>
          <w:tcPr>
            <w:tcW w:w="4383" w:type="dxa"/>
          </w:tcPr>
          <w:p w:rsidR="00D70C53" w:rsidRPr="00D70C53" w:rsidRDefault="00D70C53" w:rsidP="00B35B44">
            <w:pPr>
              <w:spacing w:before="120" w:after="312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 xml:space="preserve">1. Включение требований к социальной программе, которые повлекут за собой ограничение количества участников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конкурса 2. Взаимодействие сотрудников ответственных за подготовку документации о конкурсе, участвующих в процедуре определения победителя с НКО с целью предоставления доступа к информации в приоритетном порядке</w:t>
            </w:r>
          </w:p>
        </w:tc>
        <w:tc>
          <w:tcPr>
            <w:tcW w:w="3183" w:type="dxa"/>
          </w:tcPr>
          <w:p w:rsidR="00D70C53" w:rsidRPr="00D70C53" w:rsidRDefault="00D70C53" w:rsidP="00B35B44">
            <w:pPr>
              <w:spacing w:before="120" w:after="312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1. Осуществление текущего контроля.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 xml:space="preserve">2. Исключение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взаимодействия сотрудников ответственных за подготовку документации, участвующих в процедуре определения победителя с хозяйствующими субъектами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Публичность проведения конкурса: опубликование на сайте информации о предстоящем конкурсе и его результатах, освещение в СМИ</w:t>
            </w:r>
          </w:p>
        </w:tc>
        <w:tc>
          <w:tcPr>
            <w:tcW w:w="1812" w:type="dxa"/>
          </w:tcPr>
          <w:p w:rsidR="00D70C53" w:rsidRPr="00D70C53" w:rsidRDefault="00D70C53" w:rsidP="00B35B44">
            <w:pPr>
              <w:spacing w:before="120" w:after="312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отсутствуют</w:t>
            </w:r>
          </w:p>
        </w:tc>
        <w:tc>
          <w:tcPr>
            <w:tcW w:w="1813" w:type="dxa"/>
          </w:tcPr>
          <w:p w:rsidR="00D70C53" w:rsidRPr="00D70C53" w:rsidRDefault="00D70C53" w:rsidP="00B35B44">
            <w:pPr>
              <w:spacing w:before="120" w:after="312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</w:tbl>
    <w:p w:rsidR="00932A44" w:rsidRDefault="00932A44" w:rsidP="00932A44">
      <w:pPr>
        <w:spacing w:after="0" w:line="240" w:lineRule="auto"/>
        <w:rPr>
          <w:rFonts w:ascii="Liberation Sans" w:hAnsi="Liberation Sans" w:cs="Times New Roman"/>
        </w:rPr>
      </w:pPr>
    </w:p>
    <w:p w:rsidR="00026D85" w:rsidRDefault="00026D85" w:rsidP="00932A44">
      <w:pPr>
        <w:spacing w:after="0" w:line="240" w:lineRule="auto"/>
        <w:rPr>
          <w:rFonts w:ascii="Liberation Sans" w:hAnsi="Liberation Sans" w:cs="Times New Roman"/>
        </w:rPr>
      </w:pPr>
    </w:p>
    <w:p w:rsidR="00026D85" w:rsidRDefault="00026D85" w:rsidP="00932A44">
      <w:pPr>
        <w:spacing w:after="0" w:line="240" w:lineRule="auto"/>
        <w:rPr>
          <w:rFonts w:ascii="Liberation Sans" w:hAnsi="Liberation Sans" w:cs="Times New Roman"/>
        </w:rPr>
      </w:pPr>
    </w:p>
    <w:p w:rsidR="00026D85" w:rsidRPr="00026D85" w:rsidRDefault="00026D85" w:rsidP="00026D85">
      <w:pPr>
        <w:pStyle w:val="Default"/>
        <w:jc w:val="both"/>
        <w:rPr>
          <w:rFonts w:ascii="Liberation Sans" w:hAnsi="Liberation Sans"/>
          <w:color w:val="auto"/>
          <w:sz w:val="22"/>
          <w:szCs w:val="22"/>
        </w:rPr>
      </w:pPr>
      <w:r w:rsidRPr="00026D85">
        <w:rPr>
          <w:rFonts w:ascii="Liberation Sans" w:hAnsi="Liberation Sans"/>
          <w:color w:val="auto"/>
          <w:sz w:val="22"/>
          <w:szCs w:val="22"/>
        </w:rPr>
        <w:t>Управляющий делами</w:t>
      </w:r>
      <w:r>
        <w:rPr>
          <w:rFonts w:ascii="Liberation Sans" w:hAnsi="Liberation Sans"/>
          <w:color w:val="auto"/>
          <w:sz w:val="22"/>
          <w:szCs w:val="22"/>
        </w:rPr>
        <w:t xml:space="preserve"> </w:t>
      </w:r>
      <w:r w:rsidRPr="00026D85">
        <w:rPr>
          <w:rFonts w:ascii="Liberation Sans" w:hAnsi="Liberation Sans"/>
          <w:color w:val="auto"/>
          <w:sz w:val="22"/>
          <w:szCs w:val="22"/>
        </w:rPr>
        <w:t>-</w:t>
      </w:r>
      <w:r>
        <w:rPr>
          <w:rFonts w:ascii="Liberation Sans" w:hAnsi="Liberation Sans"/>
          <w:color w:val="auto"/>
          <w:sz w:val="22"/>
          <w:szCs w:val="22"/>
        </w:rPr>
        <w:t xml:space="preserve"> </w:t>
      </w:r>
      <w:r w:rsidRPr="00026D85">
        <w:rPr>
          <w:rFonts w:ascii="Liberation Sans" w:hAnsi="Liberation Sans"/>
          <w:color w:val="auto"/>
          <w:sz w:val="22"/>
          <w:szCs w:val="22"/>
        </w:rPr>
        <w:t xml:space="preserve">руководитель аппарата </w:t>
      </w:r>
    </w:p>
    <w:p w:rsidR="00026D85" w:rsidRPr="00026D85" w:rsidRDefault="00026D85" w:rsidP="00026D85">
      <w:pPr>
        <w:jc w:val="both"/>
        <w:rPr>
          <w:rFonts w:ascii="Liberation Sans" w:hAnsi="Liberation Sans"/>
        </w:rPr>
      </w:pPr>
      <w:r w:rsidRPr="00026D85">
        <w:rPr>
          <w:rFonts w:ascii="Liberation Sans" w:hAnsi="Liberation Sans"/>
        </w:rPr>
        <w:t>Администрации Мишкинского района                                                                                                                                                    Н.В. Андреева</w:t>
      </w:r>
    </w:p>
    <w:p w:rsidR="00026D85" w:rsidRPr="00D70C53" w:rsidRDefault="00026D85" w:rsidP="00932A44">
      <w:pPr>
        <w:spacing w:after="0" w:line="240" w:lineRule="auto"/>
        <w:rPr>
          <w:rFonts w:ascii="Liberation Sans" w:hAnsi="Liberation Sans" w:cs="Times New Roman"/>
        </w:rPr>
      </w:pPr>
    </w:p>
    <w:sectPr w:rsidR="00026D85" w:rsidRPr="00D70C53" w:rsidSect="00362482">
      <w:pgSz w:w="16838" w:h="11906" w:orient="landscape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A44"/>
    <w:rsid w:val="00026D85"/>
    <w:rsid w:val="00030EC0"/>
    <w:rsid w:val="00046939"/>
    <w:rsid w:val="001C4DB2"/>
    <w:rsid w:val="001F4D59"/>
    <w:rsid w:val="00200586"/>
    <w:rsid w:val="0022689A"/>
    <w:rsid w:val="00241843"/>
    <w:rsid w:val="002467AB"/>
    <w:rsid w:val="002A6721"/>
    <w:rsid w:val="002C4986"/>
    <w:rsid w:val="00362482"/>
    <w:rsid w:val="004168AC"/>
    <w:rsid w:val="006152E1"/>
    <w:rsid w:val="00626551"/>
    <w:rsid w:val="00647544"/>
    <w:rsid w:val="006652C8"/>
    <w:rsid w:val="0080133E"/>
    <w:rsid w:val="008400F0"/>
    <w:rsid w:val="00844316"/>
    <w:rsid w:val="00856B21"/>
    <w:rsid w:val="00923D05"/>
    <w:rsid w:val="00932A44"/>
    <w:rsid w:val="00937F88"/>
    <w:rsid w:val="00942EF1"/>
    <w:rsid w:val="0094556B"/>
    <w:rsid w:val="00AD5582"/>
    <w:rsid w:val="00B53737"/>
    <w:rsid w:val="00B81852"/>
    <w:rsid w:val="00BD6203"/>
    <w:rsid w:val="00C72F17"/>
    <w:rsid w:val="00D70C53"/>
    <w:rsid w:val="00E35CD3"/>
    <w:rsid w:val="00E617B3"/>
    <w:rsid w:val="00F25052"/>
    <w:rsid w:val="00F37617"/>
    <w:rsid w:val="00F9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C49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026D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617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0415-DB56-48CC-B666-9C972747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Михаил Юрьевич</dc:creator>
  <cp:lastModifiedBy>Юр служба</cp:lastModifiedBy>
  <cp:revision>22</cp:revision>
  <cp:lastPrinted>2022-02-24T08:53:00Z</cp:lastPrinted>
  <dcterms:created xsi:type="dcterms:W3CDTF">2019-01-19T17:13:00Z</dcterms:created>
  <dcterms:modified xsi:type="dcterms:W3CDTF">2022-02-24T10:52:00Z</dcterms:modified>
</cp:coreProperties>
</file>