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B3" w:rsidRDefault="00E617B3" w:rsidP="00E617B3">
      <w:pPr>
        <w:pStyle w:val="a4"/>
        <w:jc w:val="right"/>
        <w:rPr>
          <w:rFonts w:ascii="Liberation Sans" w:hAnsi="Liberation Sans" w:cs="Arial"/>
        </w:rPr>
      </w:pPr>
      <w:r>
        <w:rPr>
          <w:rStyle w:val="fontstyle01"/>
          <w:rFonts w:ascii="Liberation Sans" w:hAnsi="Liberation Sans"/>
        </w:rPr>
        <w:t>Приложение 2</w:t>
      </w:r>
      <w:r>
        <w:rPr>
          <w:rFonts w:ascii="Liberation Sans" w:hAnsi="Liberation Sans"/>
        </w:rPr>
        <w:br/>
      </w:r>
      <w:r>
        <w:rPr>
          <w:rStyle w:val="fontstyle01"/>
          <w:rFonts w:ascii="Liberation Sans" w:hAnsi="Liberation Sans"/>
        </w:rPr>
        <w:t>к распоряжению</w:t>
      </w:r>
      <w:r>
        <w:rPr>
          <w:rFonts w:ascii="Liberation Sans" w:hAnsi="Liberation Sans"/>
        </w:rPr>
        <w:br/>
      </w:r>
      <w:r>
        <w:rPr>
          <w:rStyle w:val="fontstyle01"/>
          <w:rFonts w:ascii="Liberation Sans" w:hAnsi="Liberation Sans"/>
        </w:rPr>
        <w:t xml:space="preserve">Администрации Мишкинского </w:t>
      </w:r>
      <w:r w:rsidR="00A17B9F">
        <w:rPr>
          <w:rStyle w:val="fontstyle01"/>
          <w:rFonts w:ascii="Liberation Sans" w:hAnsi="Liberation Sans"/>
        </w:rPr>
        <w:t>муниципального округа</w:t>
      </w:r>
    </w:p>
    <w:p w:rsidR="00E617B3" w:rsidRPr="003C47AB" w:rsidRDefault="00E617B3" w:rsidP="00E617B3">
      <w:pPr>
        <w:pStyle w:val="a4"/>
        <w:jc w:val="right"/>
        <w:rPr>
          <w:rStyle w:val="fontstyle01"/>
          <w:rFonts w:ascii="Liberation Sans" w:hAnsi="Liberation Sans"/>
          <w:color w:val="auto"/>
          <w:u w:val="single"/>
        </w:rPr>
      </w:pPr>
      <w:r w:rsidRPr="003C47AB">
        <w:rPr>
          <w:rStyle w:val="fontstyle01"/>
          <w:rFonts w:ascii="Liberation Sans" w:hAnsi="Liberation Sans"/>
          <w:color w:val="auto"/>
          <w:u w:val="single"/>
        </w:rPr>
        <w:t>от «</w:t>
      </w:r>
      <w:r w:rsidR="00753F6A">
        <w:rPr>
          <w:rStyle w:val="fontstyle01"/>
          <w:rFonts w:ascii="Liberation Sans" w:hAnsi="Liberation Sans"/>
          <w:color w:val="auto"/>
          <w:u w:val="single"/>
        </w:rPr>
        <w:t xml:space="preserve"> 30 </w:t>
      </w:r>
      <w:r w:rsidRPr="003C47AB">
        <w:rPr>
          <w:rStyle w:val="fontstyle01"/>
          <w:rFonts w:ascii="Liberation Sans" w:hAnsi="Liberation Sans"/>
          <w:color w:val="auto"/>
          <w:u w:val="single"/>
        </w:rPr>
        <w:t>»</w:t>
      </w:r>
      <w:r w:rsidR="003C47AB">
        <w:rPr>
          <w:rStyle w:val="fontstyle01"/>
          <w:rFonts w:ascii="Liberation Sans" w:hAnsi="Liberation Sans"/>
          <w:color w:val="auto"/>
          <w:u w:val="single"/>
        </w:rPr>
        <w:t xml:space="preserve">    </w:t>
      </w:r>
      <w:r w:rsidR="00753F6A">
        <w:rPr>
          <w:rStyle w:val="fontstyle01"/>
          <w:rFonts w:ascii="Liberation Sans" w:hAnsi="Liberation Sans"/>
          <w:color w:val="auto"/>
          <w:u w:val="single"/>
        </w:rPr>
        <w:t xml:space="preserve">декабря 2022 года  </w:t>
      </w:r>
      <w:r w:rsidR="003C47AB">
        <w:rPr>
          <w:rStyle w:val="fontstyle01"/>
          <w:rFonts w:ascii="Liberation Sans" w:hAnsi="Liberation Sans"/>
          <w:color w:val="auto"/>
          <w:u w:val="single"/>
        </w:rPr>
        <w:t xml:space="preserve"> </w:t>
      </w:r>
      <w:r w:rsidRPr="003C47AB">
        <w:rPr>
          <w:rStyle w:val="fontstyle01"/>
          <w:rFonts w:ascii="Liberation Sans" w:hAnsi="Liberation Sans"/>
          <w:color w:val="auto"/>
          <w:u w:val="single"/>
        </w:rPr>
        <w:t>№</w:t>
      </w:r>
      <w:r w:rsidR="00753F6A">
        <w:rPr>
          <w:rStyle w:val="fontstyle01"/>
          <w:rFonts w:ascii="Liberation Sans" w:hAnsi="Liberation Sans"/>
          <w:color w:val="auto"/>
          <w:u w:val="single"/>
        </w:rPr>
        <w:t xml:space="preserve"> 320-р </w:t>
      </w:r>
    </w:p>
    <w:p w:rsidR="003C47AB" w:rsidRDefault="00E617B3" w:rsidP="00E617B3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Fonts w:ascii="Liberation Sans" w:hAnsi="Liberation Sans" w:cs="Arial"/>
        </w:rPr>
        <w:t>«</w:t>
      </w:r>
      <w:r>
        <w:rPr>
          <w:rFonts w:ascii="Liberation Sans" w:hAnsi="Liberation Sans"/>
        </w:rPr>
        <w:t xml:space="preserve">Об  утверждении  </w:t>
      </w:r>
      <w:r>
        <w:rPr>
          <w:rStyle w:val="fontstyle01"/>
          <w:rFonts w:ascii="Liberation Sans" w:hAnsi="Liberation Sans"/>
        </w:rPr>
        <w:t xml:space="preserve">плана мероприятий (дорожной карты) </w:t>
      </w:r>
    </w:p>
    <w:p w:rsidR="00E617B3" w:rsidRDefault="00E617B3" w:rsidP="00E617B3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по снижению </w:t>
      </w:r>
      <w:proofErr w:type="spellStart"/>
      <w:r>
        <w:rPr>
          <w:rStyle w:val="fontstyle01"/>
          <w:rFonts w:ascii="Liberation Sans" w:hAnsi="Liberation Sans"/>
        </w:rPr>
        <w:t>комплаенс-рисков</w:t>
      </w:r>
      <w:proofErr w:type="spellEnd"/>
      <w:r>
        <w:rPr>
          <w:rStyle w:val="fontstyle01"/>
          <w:rFonts w:ascii="Liberation Sans" w:hAnsi="Liberation Sans"/>
        </w:rPr>
        <w:t xml:space="preserve"> </w:t>
      </w:r>
    </w:p>
    <w:p w:rsidR="003C47AB" w:rsidRDefault="00E617B3" w:rsidP="00E617B3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в </w:t>
      </w:r>
      <w:r>
        <w:rPr>
          <w:rFonts w:ascii="Liberation Sans" w:hAnsi="Liberation Sans"/>
          <w:bCs/>
        </w:rPr>
        <w:t xml:space="preserve">Администрации Мишкинского </w:t>
      </w:r>
      <w:r w:rsidR="00A17B9F">
        <w:rPr>
          <w:rFonts w:ascii="Liberation Sans" w:hAnsi="Liberation Sans"/>
          <w:bCs/>
        </w:rPr>
        <w:t>муниципального округа</w:t>
      </w:r>
      <w:r w:rsidR="00A17B9F">
        <w:rPr>
          <w:rStyle w:val="fontstyle01"/>
          <w:rFonts w:ascii="Liberation Sans" w:hAnsi="Liberation Sans"/>
        </w:rPr>
        <w:t xml:space="preserve"> на 2023</w:t>
      </w:r>
      <w:r>
        <w:rPr>
          <w:rStyle w:val="fontstyle01"/>
          <w:rFonts w:ascii="Liberation Sans" w:hAnsi="Liberation Sans"/>
        </w:rPr>
        <w:t xml:space="preserve"> год,</w:t>
      </w:r>
    </w:p>
    <w:p w:rsidR="00E617B3" w:rsidRDefault="00E617B3" w:rsidP="00E617B3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карты </w:t>
      </w:r>
      <w:proofErr w:type="spellStart"/>
      <w:r>
        <w:rPr>
          <w:rStyle w:val="fontstyle01"/>
          <w:rFonts w:ascii="Liberation Sans" w:hAnsi="Liberation Sans"/>
        </w:rPr>
        <w:t>комплаенс-рисков</w:t>
      </w:r>
      <w:proofErr w:type="spellEnd"/>
      <w:r>
        <w:rPr>
          <w:rStyle w:val="fontstyle01"/>
          <w:rFonts w:ascii="Liberation Sans" w:hAnsi="Liberation Sans"/>
        </w:rPr>
        <w:t xml:space="preserve">, </w:t>
      </w:r>
    </w:p>
    <w:p w:rsidR="003C47AB" w:rsidRDefault="00E617B3" w:rsidP="00E617B3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методики расчёта ключевых показателей эффективности </w:t>
      </w:r>
    </w:p>
    <w:p w:rsidR="00B81852" w:rsidRPr="003C47AB" w:rsidRDefault="00E617B3" w:rsidP="003C47AB">
      <w:pPr>
        <w:pStyle w:val="a4"/>
        <w:jc w:val="right"/>
        <w:rPr>
          <w:rFonts w:ascii="Liberation Sans" w:hAnsi="Liberation Sans" w:cs="Calibri"/>
          <w:color w:val="000000"/>
        </w:rPr>
      </w:pPr>
      <w:r>
        <w:rPr>
          <w:rStyle w:val="fontstyle01"/>
          <w:rFonts w:ascii="Liberation Sans" w:hAnsi="Liberation Sans"/>
        </w:rPr>
        <w:t xml:space="preserve">функционирования антимонопольного </w:t>
      </w:r>
      <w:proofErr w:type="spellStart"/>
      <w:r>
        <w:rPr>
          <w:rStyle w:val="fontstyle01"/>
          <w:rFonts w:ascii="Liberation Sans" w:hAnsi="Liberation Sans"/>
        </w:rPr>
        <w:t>комплаенса</w:t>
      </w:r>
      <w:proofErr w:type="spellEnd"/>
      <w:r>
        <w:rPr>
          <w:rFonts w:ascii="Liberation Sans" w:hAnsi="Liberation Sans"/>
        </w:rPr>
        <w:t>»</w:t>
      </w:r>
    </w:p>
    <w:p w:rsidR="00942EF1" w:rsidRPr="00D70C53" w:rsidRDefault="00942EF1" w:rsidP="00AD5582">
      <w:pPr>
        <w:spacing w:after="0" w:line="240" w:lineRule="auto"/>
        <w:jc w:val="right"/>
        <w:rPr>
          <w:rFonts w:ascii="Liberation Sans" w:hAnsi="Liberation Sans" w:cs="Times New Roman"/>
        </w:rPr>
      </w:pPr>
    </w:p>
    <w:p w:rsidR="00AD5582" w:rsidRPr="00D70C53" w:rsidRDefault="00AD5582" w:rsidP="00932A44">
      <w:pPr>
        <w:spacing w:after="0" w:line="240" w:lineRule="auto"/>
        <w:jc w:val="center"/>
        <w:rPr>
          <w:rFonts w:ascii="Liberation Sans" w:hAnsi="Liberation Sans" w:cs="Times New Roman"/>
        </w:rPr>
      </w:pPr>
    </w:p>
    <w:p w:rsidR="002467AB" w:rsidRPr="002C4986" w:rsidRDefault="00362482" w:rsidP="00932A44">
      <w:pPr>
        <w:spacing w:after="0" w:line="240" w:lineRule="auto"/>
        <w:jc w:val="center"/>
        <w:rPr>
          <w:rFonts w:ascii="Liberation Sans" w:hAnsi="Liberation Sans" w:cs="Times New Roman"/>
          <w:sz w:val="24"/>
          <w:szCs w:val="24"/>
        </w:rPr>
      </w:pPr>
      <w:r w:rsidRPr="002C4986">
        <w:rPr>
          <w:rFonts w:ascii="Liberation Sans" w:hAnsi="Liberation Sans" w:cs="Times New Roman"/>
          <w:sz w:val="24"/>
          <w:szCs w:val="24"/>
        </w:rPr>
        <w:t>КАРТА</w:t>
      </w:r>
      <w:r w:rsidR="00932A44" w:rsidRPr="002C4986">
        <w:rPr>
          <w:rFonts w:ascii="Liberation Sans" w:hAnsi="Liberation Sans" w:cs="Times New Roman"/>
          <w:sz w:val="24"/>
          <w:szCs w:val="24"/>
        </w:rPr>
        <w:t xml:space="preserve"> КОМПЛАЕНС-РИСКОВ</w:t>
      </w:r>
    </w:p>
    <w:p w:rsidR="00932A44" w:rsidRPr="002C4986" w:rsidRDefault="00362482" w:rsidP="00362482">
      <w:pPr>
        <w:spacing w:after="0" w:line="240" w:lineRule="auto"/>
        <w:jc w:val="center"/>
        <w:rPr>
          <w:rFonts w:ascii="Liberation Sans" w:hAnsi="Liberation Sans" w:cs="Times New Roman"/>
          <w:sz w:val="24"/>
          <w:szCs w:val="24"/>
        </w:rPr>
      </w:pPr>
      <w:r w:rsidRPr="002C4986">
        <w:rPr>
          <w:rFonts w:ascii="Liberation Sans" w:hAnsi="Liberation Sans" w:cs="Times New Roman"/>
          <w:sz w:val="24"/>
          <w:szCs w:val="24"/>
        </w:rPr>
        <w:t xml:space="preserve">Администрация Мишкинского </w:t>
      </w:r>
      <w:r w:rsidR="00A17B9F">
        <w:rPr>
          <w:rFonts w:ascii="Liberation Sans" w:hAnsi="Liberation Sans" w:cs="Times New Roman"/>
          <w:sz w:val="24"/>
          <w:szCs w:val="24"/>
        </w:rPr>
        <w:t>муниципального округа</w:t>
      </w:r>
      <w:r w:rsidRPr="002C4986">
        <w:rPr>
          <w:rFonts w:ascii="Liberation Sans" w:hAnsi="Liberation Sans" w:cs="Times New Roman"/>
          <w:sz w:val="24"/>
          <w:szCs w:val="24"/>
        </w:rPr>
        <w:t xml:space="preserve"> Курганской области </w:t>
      </w:r>
    </w:p>
    <w:p w:rsidR="00932A44" w:rsidRPr="00D70C53" w:rsidRDefault="00932A44" w:rsidP="00932A44">
      <w:pPr>
        <w:spacing w:after="0" w:line="240" w:lineRule="auto"/>
        <w:rPr>
          <w:rFonts w:ascii="Liberation Sans" w:hAnsi="Liberation Sans" w:cs="Times New Roman"/>
        </w:rPr>
      </w:pPr>
    </w:p>
    <w:tbl>
      <w:tblPr>
        <w:tblStyle w:val="a3"/>
        <w:tblW w:w="14850" w:type="dxa"/>
        <w:tblLook w:val="04A0"/>
      </w:tblPr>
      <w:tblGrid>
        <w:gridCol w:w="1355"/>
        <w:gridCol w:w="2304"/>
        <w:gridCol w:w="4383"/>
        <w:gridCol w:w="3183"/>
        <w:gridCol w:w="1812"/>
        <w:gridCol w:w="1813"/>
      </w:tblGrid>
      <w:tr w:rsidR="00046939" w:rsidRPr="00D70C53" w:rsidTr="00046939">
        <w:trPr>
          <w:trHeight w:val="782"/>
        </w:trPr>
        <w:tc>
          <w:tcPr>
            <w:tcW w:w="1355" w:type="dxa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Уровень риска</w:t>
            </w:r>
          </w:p>
        </w:tc>
        <w:tc>
          <w:tcPr>
            <w:tcW w:w="2304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Вид риска (описание)</w:t>
            </w:r>
          </w:p>
        </w:tc>
        <w:tc>
          <w:tcPr>
            <w:tcW w:w="4383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Причины и условия возникновения (описание)</w:t>
            </w:r>
          </w:p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</w:p>
        </w:tc>
        <w:tc>
          <w:tcPr>
            <w:tcW w:w="3183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Наличие (отсутствие) остаточных рисков</w:t>
            </w:r>
          </w:p>
        </w:tc>
        <w:tc>
          <w:tcPr>
            <w:tcW w:w="1812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eastAsia="Times New Roman" w:hAnsi="Liberation Sans" w:cs="Arial"/>
                <w:b/>
                <w:bCs/>
                <w:color w:val="000000"/>
              </w:rPr>
              <w:t>Наличие (отсутствие) остаточных рисков</w:t>
            </w:r>
          </w:p>
        </w:tc>
        <w:tc>
          <w:tcPr>
            <w:tcW w:w="1813" w:type="dxa"/>
            <w:vAlign w:val="center"/>
          </w:tcPr>
          <w:p w:rsidR="00046939" w:rsidRPr="00D70C53" w:rsidRDefault="00046939" w:rsidP="00932A44">
            <w:pPr>
              <w:jc w:val="center"/>
              <w:rPr>
                <w:rFonts w:ascii="Liberation Sans" w:hAnsi="Liberation Sans" w:cs="Times New Roman"/>
                <w:b/>
              </w:rPr>
            </w:pPr>
            <w:r w:rsidRPr="00D70C53">
              <w:rPr>
                <w:rFonts w:ascii="Liberation Sans" w:hAnsi="Liberation Sans" w:cs="Times New Roman"/>
                <w:b/>
              </w:rPr>
              <w:t>Вероятность повторного возникновения рисков</w:t>
            </w:r>
          </w:p>
        </w:tc>
      </w:tr>
      <w:tr w:rsidR="00046939" w:rsidRPr="00D70C53" w:rsidTr="00046939">
        <w:trPr>
          <w:trHeight w:val="1158"/>
        </w:trPr>
        <w:tc>
          <w:tcPr>
            <w:tcW w:w="1355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низкий</w:t>
            </w:r>
          </w:p>
        </w:tc>
        <w:tc>
          <w:tcPr>
            <w:tcW w:w="2304" w:type="dxa"/>
          </w:tcPr>
          <w:p w:rsidR="00046939" w:rsidRPr="00D70C53" w:rsidRDefault="00046939" w:rsidP="004168AC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Нарушение срока предоставления 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и муниципальных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.</w:t>
            </w:r>
          </w:p>
        </w:tc>
        <w:tc>
          <w:tcPr>
            <w:tcW w:w="4383" w:type="dxa"/>
          </w:tcPr>
          <w:p w:rsidR="00046939" w:rsidRPr="00D70C53" w:rsidRDefault="00046939" w:rsidP="00AD5582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1. Ослабление </w:t>
            </w:r>
            <w:proofErr w:type="gramStart"/>
            <w:r w:rsidRPr="00D70C53">
              <w:rPr>
                <w:rFonts w:ascii="Liberation Sans" w:eastAsia="Times New Roman" w:hAnsi="Liberation Sans" w:cs="Arial"/>
                <w:color w:val="000000"/>
              </w:rPr>
              <w:t>контроля за</w:t>
            </w:r>
            <w:proofErr w:type="gramEnd"/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 процедурой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и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Недобросовестное или небрежное отношения сотрудника к службе либо обязанностей по должности.</w:t>
            </w:r>
          </w:p>
        </w:tc>
        <w:tc>
          <w:tcPr>
            <w:tcW w:w="3183" w:type="dxa"/>
          </w:tcPr>
          <w:p w:rsidR="00046939" w:rsidRPr="00D70C53" w:rsidRDefault="00046939" w:rsidP="00046939">
            <w:pPr>
              <w:rPr>
                <w:rFonts w:ascii="Liberation Sans" w:hAnsi="Liberation Sans" w:cs="Times New Roman"/>
              </w:rPr>
            </w:pPr>
            <w:bookmarkStart w:id="0" w:name="_GoBack"/>
            <w:bookmarkEnd w:id="0"/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1. Осуществление текущего контроля предоставления государственных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и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Совершенствование механизмов контроля.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Обучение ответственных сотрудников.</w:t>
            </w:r>
          </w:p>
        </w:tc>
        <w:tc>
          <w:tcPr>
            <w:tcW w:w="1812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отсутствуют</w:t>
            </w:r>
          </w:p>
        </w:tc>
        <w:tc>
          <w:tcPr>
            <w:tcW w:w="1813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  <w:tr w:rsidR="00046939" w:rsidRPr="00D70C53" w:rsidTr="00D17A4C">
        <w:tc>
          <w:tcPr>
            <w:tcW w:w="1355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</w:p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</w:p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низкий</w:t>
            </w:r>
          </w:p>
        </w:tc>
        <w:tc>
          <w:tcPr>
            <w:tcW w:w="2304" w:type="dxa"/>
          </w:tcPr>
          <w:p w:rsidR="00046939" w:rsidRPr="00D70C53" w:rsidRDefault="00046939" w:rsidP="004168AC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Отказ в предоставлении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ых,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,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по основаниям, не предусмотренным административным регламентом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ых,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услуг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.</w:t>
            </w:r>
          </w:p>
        </w:tc>
        <w:tc>
          <w:tcPr>
            <w:tcW w:w="4383" w:type="dxa"/>
          </w:tcPr>
          <w:p w:rsidR="004168AC" w:rsidRDefault="00046939" w:rsidP="004168AC">
            <w:pPr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 xml:space="preserve">1. Ослабление </w:t>
            </w:r>
            <w:proofErr w:type="gramStart"/>
            <w:r w:rsidRPr="00D70C53">
              <w:rPr>
                <w:rFonts w:ascii="Liberation Sans" w:eastAsia="Times New Roman" w:hAnsi="Liberation Sans" w:cs="Arial"/>
                <w:color w:val="000000"/>
              </w:rPr>
              <w:t>контроля за</w:t>
            </w:r>
            <w:proofErr w:type="gramEnd"/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 процедурой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ых,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. </w:t>
            </w:r>
          </w:p>
          <w:p w:rsidR="00046939" w:rsidRPr="00D70C53" w:rsidRDefault="00046939" w:rsidP="004168AC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2. Недобросовестное или небрежное отношения сотрудника к службе либо обязанностей по должности.</w:t>
            </w:r>
          </w:p>
        </w:tc>
        <w:tc>
          <w:tcPr>
            <w:tcW w:w="3183" w:type="dxa"/>
          </w:tcPr>
          <w:p w:rsidR="00046939" w:rsidRPr="00D70C53" w:rsidRDefault="00046939" w:rsidP="004168AC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1. Осуществление текущего контроля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ых,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 xml:space="preserve"> 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Совершенствование механизмов контроля.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Обучение ответственных сотрудников.</w:t>
            </w:r>
          </w:p>
        </w:tc>
        <w:tc>
          <w:tcPr>
            <w:tcW w:w="1812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отсутствуют</w:t>
            </w:r>
          </w:p>
        </w:tc>
        <w:tc>
          <w:tcPr>
            <w:tcW w:w="1813" w:type="dxa"/>
          </w:tcPr>
          <w:p w:rsidR="00046939" w:rsidRPr="00D70C53" w:rsidRDefault="00046939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  <w:tr w:rsidR="00D70C53" w:rsidRPr="00D70C53" w:rsidTr="00891E92">
        <w:tc>
          <w:tcPr>
            <w:tcW w:w="1355" w:type="dxa"/>
          </w:tcPr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низкий</w:t>
            </w:r>
          </w:p>
        </w:tc>
        <w:tc>
          <w:tcPr>
            <w:tcW w:w="2304" w:type="dxa"/>
          </w:tcPr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Нарушения при осуществлении закупок товаров, работ, услуг для обеспечения государственных нужд в соответствии с Федеральный закон от 05.04.2013 N 44-ФЗ, которые привели к ограничению конкуренции</w:t>
            </w:r>
          </w:p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</w:p>
        </w:tc>
        <w:tc>
          <w:tcPr>
            <w:tcW w:w="4383" w:type="dxa"/>
          </w:tcPr>
          <w:p w:rsidR="00D70C53" w:rsidRPr="00D70C53" w:rsidRDefault="00D70C53" w:rsidP="00AD5582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1. 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если такие требования влекут за собой ограничение количества участников закупки.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Нарушения порядка определения и обоснования начальной (максимальной) цены контракта.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Взаимодействие сотрудников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>,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 ответственных за подготовку документации о закупке, участвующих в процедуре определения подрядчика, поставщика, исполнителя по государственным контрактам с хозяйствующими субъектами с целью предоставления доступа к информации в приоритетном порядке. 4. Принятие решения, нарушающего единообразие практики, которое приводит или может привести к недопущению, ограничению или устранению конкуренции.</w:t>
            </w:r>
          </w:p>
        </w:tc>
        <w:tc>
          <w:tcPr>
            <w:tcW w:w="3183" w:type="dxa"/>
          </w:tcPr>
          <w:p w:rsidR="00D70C53" w:rsidRPr="00D70C53" w:rsidRDefault="00D70C53" w:rsidP="00932A44">
            <w:pPr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1. Осуществление текущего контроля закупочной деятельности.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Совершенствование механизмов контроля.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Обучение ответственных сотрудников.</w:t>
            </w:r>
          </w:p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4. Исключение взаимодействия сотрудников ответственных за подготовку документации, участвующих в процедуре определения подрядчика, поставщика, исполнителя по государственным контрактам с хозяйствующими субъектами.</w:t>
            </w:r>
          </w:p>
        </w:tc>
        <w:tc>
          <w:tcPr>
            <w:tcW w:w="1812" w:type="dxa"/>
          </w:tcPr>
          <w:p w:rsidR="00D70C53" w:rsidRPr="00D70C53" w:rsidRDefault="00D70C53" w:rsidP="00B35B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отсутствуют</w:t>
            </w:r>
          </w:p>
        </w:tc>
        <w:tc>
          <w:tcPr>
            <w:tcW w:w="1813" w:type="dxa"/>
          </w:tcPr>
          <w:p w:rsidR="00D70C53" w:rsidRPr="00D70C53" w:rsidRDefault="00D70C53" w:rsidP="00B35B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  <w:tr w:rsidR="00D70C53" w:rsidRPr="00D70C53" w:rsidTr="00891E92">
        <w:tc>
          <w:tcPr>
            <w:tcW w:w="1355" w:type="dxa"/>
          </w:tcPr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низкий</w:t>
            </w:r>
          </w:p>
        </w:tc>
        <w:tc>
          <w:tcPr>
            <w:tcW w:w="2304" w:type="dxa"/>
          </w:tcPr>
          <w:p w:rsidR="00D70C53" w:rsidRPr="00D70C53" w:rsidRDefault="00D70C53" w:rsidP="00932A44">
            <w:pPr>
              <w:rPr>
                <w:rFonts w:ascii="Liberation Sans" w:hAnsi="Liberation Sans" w:cs="Times New Roman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Осуществление действий (бездействия), которые приводят или могут привести к недопущению, ограничению, устранению конкуренции, за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исключением предусмотренных федеральными законами случаев принятия актов и (или) осуществления таких действий (бездействия).</w:t>
            </w:r>
          </w:p>
        </w:tc>
        <w:tc>
          <w:tcPr>
            <w:tcW w:w="4383" w:type="dxa"/>
          </w:tcPr>
          <w:p w:rsidR="00D70C53" w:rsidRPr="00D70C53" w:rsidRDefault="00D70C53" w:rsidP="004168AC">
            <w:pPr>
              <w:spacing w:before="120" w:after="312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1. Введение ограничений в отношении создания хозяйствующих субъектов,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 xml:space="preserve">2. Необоснованное препятствование осуществлению деятельности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хозяйствующих субъектов.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Установление ограничений прав хозяйствующих субъектов на продажу, покупку, иное приобретение, обмен товаров.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4. Дача хозяйствующим субъектам указаний о первоочередных поставках товаров для определенной категории покупателей (заказчиков) или о заключении в приоритетном порядке договоров.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5. Установление для приобретателей товаров ограничений выбора хозяйствующих субъектов, которые предоставляют такие товары.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6. Предоставление хозяйствующему субъекту доступа к информации в приоритетном порядке.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7. Предоставление преференции.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8. Создание дискриминационных условий.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 xml:space="preserve">9. Установление и (или) взимание не предусмотренных законодательством РФ платежей при предоставлении государственных услуг, а также услуг, которые являются необходимыми и обязательными для предоставления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государственн</w:t>
            </w:r>
            <w:r w:rsidR="004168AC">
              <w:rPr>
                <w:rFonts w:ascii="Liberation Sans" w:eastAsia="Times New Roman" w:hAnsi="Liberation Sans" w:cs="Arial"/>
                <w:color w:val="000000"/>
              </w:rPr>
              <w:t xml:space="preserve">ых, муниципальных </w:t>
            </w:r>
            <w:r w:rsidR="004168AC" w:rsidRPr="00D70C53">
              <w:rPr>
                <w:rFonts w:ascii="Liberation Sans" w:eastAsia="Times New Roman" w:hAnsi="Liberation Sans" w:cs="Arial"/>
                <w:color w:val="000000"/>
              </w:rPr>
              <w:t>услуг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t>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10. Дача хозяйствующим субъектам указаний о приобретении товара, за исключением случаев, предусмотренных законодательством РФ.</w:t>
            </w:r>
          </w:p>
        </w:tc>
        <w:tc>
          <w:tcPr>
            <w:tcW w:w="3183" w:type="dxa"/>
          </w:tcPr>
          <w:p w:rsidR="00D70C53" w:rsidRPr="00D70C53" w:rsidRDefault="00D70C53" w:rsidP="00B35B44">
            <w:pPr>
              <w:spacing w:before="120" w:after="312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 xml:space="preserve">1. Совершенствование системы </w:t>
            </w:r>
            <w:proofErr w:type="gramStart"/>
            <w:r w:rsidRPr="00D70C53">
              <w:rPr>
                <w:rFonts w:ascii="Liberation Sans" w:eastAsia="Times New Roman" w:hAnsi="Liberation Sans" w:cs="Arial"/>
                <w:color w:val="000000"/>
              </w:rPr>
              <w:t>контроля за</w:t>
            </w:r>
            <w:proofErr w:type="gramEnd"/>
            <w:r w:rsidRPr="00D70C53">
              <w:rPr>
                <w:rFonts w:ascii="Liberation Sans" w:eastAsia="Times New Roman" w:hAnsi="Liberation Sans" w:cs="Arial"/>
                <w:color w:val="000000"/>
              </w:rPr>
              <w:t xml:space="preserve"> соблюдением действующего антимонопольного законодательства.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2. Анализ выявленных нарушений антимонопольного законодательства.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3. Анализ нормативных правовых актов и проектов нормативных правовых актов, при необходимости – инициирование внесения в них изменений и дополнений.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4. Мониторинг и анализ практики применения антимонопольного законодательства.</w:t>
            </w:r>
          </w:p>
        </w:tc>
        <w:tc>
          <w:tcPr>
            <w:tcW w:w="1812" w:type="dxa"/>
          </w:tcPr>
          <w:p w:rsidR="00D70C53" w:rsidRPr="00D70C53" w:rsidRDefault="00D70C53" w:rsidP="00B35B44">
            <w:pPr>
              <w:spacing w:before="120" w:after="312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отсутствуют</w:t>
            </w:r>
          </w:p>
        </w:tc>
        <w:tc>
          <w:tcPr>
            <w:tcW w:w="1813" w:type="dxa"/>
          </w:tcPr>
          <w:p w:rsidR="00D70C53" w:rsidRPr="00D70C53" w:rsidRDefault="00D70C53" w:rsidP="00B35B44">
            <w:pPr>
              <w:spacing w:before="120" w:after="312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  <w:tr w:rsidR="00D70C53" w:rsidRPr="00D70C53" w:rsidTr="00891E92">
        <w:tc>
          <w:tcPr>
            <w:tcW w:w="1355" w:type="dxa"/>
          </w:tcPr>
          <w:p w:rsidR="00D70C53" w:rsidRPr="00D70C53" w:rsidRDefault="00D70C53" w:rsidP="00932A44">
            <w:pPr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низкий</w:t>
            </w:r>
          </w:p>
        </w:tc>
        <w:tc>
          <w:tcPr>
            <w:tcW w:w="2304" w:type="dxa"/>
          </w:tcPr>
          <w:p w:rsidR="00D70C53" w:rsidRPr="00D70C53" w:rsidRDefault="00D70C53" w:rsidP="00D70C53">
            <w:pPr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 w:themeColor="text1"/>
              </w:rPr>
              <w:t xml:space="preserve">Нарушения при организации и проведении конкурсов на право </w:t>
            </w:r>
            <w:r w:rsidRPr="00D70C53">
              <w:rPr>
                <w:rFonts w:ascii="Liberation Sans" w:eastAsia="Times New Roman" w:hAnsi="Liberation Sans" w:cs="Arial"/>
                <w:color w:val="000000" w:themeColor="text1"/>
              </w:rPr>
              <w:lastRenderedPageBreak/>
              <w:t xml:space="preserve">заключения на безвозмездной основе договоров на реализацию социальных программ (проектов) по организации </w:t>
            </w:r>
            <w:proofErr w:type="spellStart"/>
            <w:r w:rsidRPr="00D70C53">
              <w:rPr>
                <w:rFonts w:ascii="Liberation Sans" w:eastAsia="Times New Roman" w:hAnsi="Liberation Sans" w:cs="Arial"/>
                <w:color w:val="000000" w:themeColor="text1"/>
              </w:rPr>
              <w:t>досуговой</w:t>
            </w:r>
            <w:proofErr w:type="spellEnd"/>
            <w:r w:rsidRPr="00D70C53">
              <w:rPr>
                <w:rFonts w:ascii="Liberation Sans" w:eastAsia="Times New Roman" w:hAnsi="Liberation Sans" w:cs="Arial"/>
                <w:color w:val="000000" w:themeColor="text1"/>
              </w:rPr>
              <w:t>, социально-воспитательной, физкультурно-оздоровительной и спортивной работы с населением.</w:t>
            </w:r>
          </w:p>
        </w:tc>
        <w:tc>
          <w:tcPr>
            <w:tcW w:w="4383" w:type="dxa"/>
          </w:tcPr>
          <w:p w:rsidR="00D70C53" w:rsidRPr="00D70C53" w:rsidRDefault="00D70C53" w:rsidP="00B35B44">
            <w:pPr>
              <w:spacing w:before="120" w:after="312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 xml:space="preserve">1. Включение требований к социальной программе, которые повлекут за собой ограничение количества участников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конкурса 2. Взаимодействие сотрудников ответственных за подготовку документации о конкурсе, участвующих в процедуре определения победителя с НКО с целью предоставления доступа к информации в приоритетном порядке</w:t>
            </w:r>
          </w:p>
        </w:tc>
        <w:tc>
          <w:tcPr>
            <w:tcW w:w="3183" w:type="dxa"/>
          </w:tcPr>
          <w:p w:rsidR="00D70C53" w:rsidRPr="00D70C53" w:rsidRDefault="00D70C53" w:rsidP="00B35B44">
            <w:pPr>
              <w:spacing w:before="120" w:after="312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1. Осуществление текущего контроля.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 xml:space="preserve">2. Исключение 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взаимодействия сотрудников ответственных за подготовку документации, участвующих в процедуре определения победителя с хозяйствующими субъектами</w:t>
            </w:r>
            <w:r w:rsidRPr="00D70C53">
              <w:rPr>
                <w:rFonts w:ascii="Liberation Sans" w:eastAsia="Times New Roman" w:hAnsi="Liberation Sans" w:cs="Arial"/>
                <w:color w:val="000000"/>
              </w:rPr>
              <w:br/>
              <w:t>3. Публичность проведения конкурса: опубликование на сайте информации о предстоящем конкурсе и его результатах, освещение в СМИ</w:t>
            </w:r>
          </w:p>
        </w:tc>
        <w:tc>
          <w:tcPr>
            <w:tcW w:w="1812" w:type="dxa"/>
          </w:tcPr>
          <w:p w:rsidR="00D70C53" w:rsidRPr="00D70C53" w:rsidRDefault="00D70C53" w:rsidP="00B35B44">
            <w:pPr>
              <w:spacing w:before="120" w:after="312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lastRenderedPageBreak/>
              <w:t>отсутствуют</w:t>
            </w:r>
          </w:p>
        </w:tc>
        <w:tc>
          <w:tcPr>
            <w:tcW w:w="1813" w:type="dxa"/>
          </w:tcPr>
          <w:p w:rsidR="00D70C53" w:rsidRPr="00D70C53" w:rsidRDefault="00D70C53" w:rsidP="00B35B44">
            <w:pPr>
              <w:spacing w:before="120" w:after="312"/>
              <w:jc w:val="center"/>
              <w:rPr>
                <w:rFonts w:ascii="Liberation Sans" w:eastAsia="Times New Roman" w:hAnsi="Liberation Sans" w:cs="Arial"/>
                <w:color w:val="000000"/>
              </w:rPr>
            </w:pPr>
            <w:r w:rsidRPr="00D70C53">
              <w:rPr>
                <w:rFonts w:ascii="Liberation Sans" w:eastAsia="Times New Roman" w:hAnsi="Liberation Sans" w:cs="Arial"/>
                <w:color w:val="000000"/>
              </w:rPr>
              <w:t>низкая</w:t>
            </w:r>
          </w:p>
        </w:tc>
      </w:tr>
    </w:tbl>
    <w:p w:rsidR="00932A44" w:rsidRDefault="00932A44" w:rsidP="00932A44">
      <w:pPr>
        <w:spacing w:after="0" w:line="240" w:lineRule="auto"/>
        <w:rPr>
          <w:rFonts w:ascii="Liberation Sans" w:hAnsi="Liberation Sans" w:cs="Times New Roman"/>
        </w:rPr>
      </w:pPr>
    </w:p>
    <w:p w:rsidR="00026D85" w:rsidRDefault="00026D85" w:rsidP="00932A44">
      <w:pPr>
        <w:spacing w:after="0" w:line="240" w:lineRule="auto"/>
        <w:rPr>
          <w:rFonts w:ascii="Liberation Sans" w:hAnsi="Liberation Sans" w:cs="Times New Roman"/>
        </w:rPr>
      </w:pPr>
    </w:p>
    <w:p w:rsidR="00026D85" w:rsidRDefault="00026D85" w:rsidP="00932A44">
      <w:pPr>
        <w:spacing w:after="0" w:line="240" w:lineRule="auto"/>
        <w:rPr>
          <w:rFonts w:ascii="Liberation Sans" w:hAnsi="Liberation Sans" w:cs="Times New Roman"/>
        </w:rPr>
      </w:pPr>
    </w:p>
    <w:p w:rsidR="00026D85" w:rsidRPr="00026D85" w:rsidRDefault="00026D85" w:rsidP="00026D85">
      <w:pPr>
        <w:pStyle w:val="Default"/>
        <w:jc w:val="both"/>
        <w:rPr>
          <w:rFonts w:ascii="Liberation Sans" w:hAnsi="Liberation Sans"/>
          <w:color w:val="auto"/>
          <w:sz w:val="22"/>
          <w:szCs w:val="22"/>
        </w:rPr>
      </w:pPr>
      <w:r w:rsidRPr="00026D85">
        <w:rPr>
          <w:rFonts w:ascii="Liberation Sans" w:hAnsi="Liberation Sans"/>
          <w:color w:val="auto"/>
          <w:sz w:val="22"/>
          <w:szCs w:val="22"/>
        </w:rPr>
        <w:t>Управляющий делами</w:t>
      </w:r>
      <w:r>
        <w:rPr>
          <w:rFonts w:ascii="Liberation Sans" w:hAnsi="Liberation Sans"/>
          <w:color w:val="auto"/>
          <w:sz w:val="22"/>
          <w:szCs w:val="22"/>
        </w:rPr>
        <w:t xml:space="preserve"> </w:t>
      </w:r>
      <w:r w:rsidRPr="00026D85">
        <w:rPr>
          <w:rFonts w:ascii="Liberation Sans" w:hAnsi="Liberation Sans"/>
          <w:color w:val="auto"/>
          <w:sz w:val="22"/>
          <w:szCs w:val="22"/>
        </w:rPr>
        <w:t>-</w:t>
      </w:r>
      <w:r>
        <w:rPr>
          <w:rFonts w:ascii="Liberation Sans" w:hAnsi="Liberation Sans"/>
          <w:color w:val="auto"/>
          <w:sz w:val="22"/>
          <w:szCs w:val="22"/>
        </w:rPr>
        <w:t xml:space="preserve"> </w:t>
      </w:r>
      <w:r w:rsidRPr="00026D85">
        <w:rPr>
          <w:rFonts w:ascii="Liberation Sans" w:hAnsi="Liberation Sans"/>
          <w:color w:val="auto"/>
          <w:sz w:val="22"/>
          <w:szCs w:val="22"/>
        </w:rPr>
        <w:t xml:space="preserve">руководитель аппарата </w:t>
      </w:r>
    </w:p>
    <w:p w:rsidR="00026D85" w:rsidRPr="00026D85" w:rsidRDefault="00026D85" w:rsidP="00026D85">
      <w:pPr>
        <w:jc w:val="both"/>
        <w:rPr>
          <w:rFonts w:ascii="Liberation Sans" w:hAnsi="Liberation Sans"/>
        </w:rPr>
      </w:pPr>
      <w:r w:rsidRPr="00026D85">
        <w:rPr>
          <w:rFonts w:ascii="Liberation Sans" w:hAnsi="Liberation Sans"/>
        </w:rPr>
        <w:t xml:space="preserve">Администрации Мишкинского </w:t>
      </w:r>
      <w:r w:rsidR="00A17B9F">
        <w:rPr>
          <w:rFonts w:ascii="Liberation Sans" w:hAnsi="Liberation Sans"/>
        </w:rPr>
        <w:t>муниципального округа</w:t>
      </w:r>
      <w:r w:rsidRPr="00026D85">
        <w:rPr>
          <w:rFonts w:ascii="Liberation Sans" w:hAnsi="Liberation Sans"/>
        </w:rPr>
        <w:t xml:space="preserve">                                                                                                               </w:t>
      </w:r>
      <w:r w:rsidR="00A17B9F">
        <w:rPr>
          <w:rFonts w:ascii="Liberation Sans" w:hAnsi="Liberation Sans"/>
        </w:rPr>
        <w:t xml:space="preserve">            </w:t>
      </w:r>
      <w:r w:rsidRPr="00026D85">
        <w:rPr>
          <w:rFonts w:ascii="Liberation Sans" w:hAnsi="Liberation Sans"/>
        </w:rPr>
        <w:t>Н.В. Андреева</w:t>
      </w:r>
    </w:p>
    <w:p w:rsidR="00026D85" w:rsidRPr="00D70C53" w:rsidRDefault="00026D85" w:rsidP="00932A44">
      <w:pPr>
        <w:spacing w:after="0" w:line="240" w:lineRule="auto"/>
        <w:rPr>
          <w:rFonts w:ascii="Liberation Sans" w:hAnsi="Liberation Sans" w:cs="Times New Roman"/>
        </w:rPr>
      </w:pPr>
    </w:p>
    <w:sectPr w:rsidR="00026D85" w:rsidRPr="00D70C53" w:rsidSect="00362482">
      <w:pgSz w:w="16838" w:h="11906" w:orient="landscape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A44"/>
    <w:rsid w:val="00026D85"/>
    <w:rsid w:val="00030EC0"/>
    <w:rsid w:val="00046939"/>
    <w:rsid w:val="001C4DB2"/>
    <w:rsid w:val="001F4D59"/>
    <w:rsid w:val="00200586"/>
    <w:rsid w:val="0022689A"/>
    <w:rsid w:val="00241843"/>
    <w:rsid w:val="002467AB"/>
    <w:rsid w:val="002A6721"/>
    <w:rsid w:val="002C4986"/>
    <w:rsid w:val="00362482"/>
    <w:rsid w:val="003C47AB"/>
    <w:rsid w:val="004168AC"/>
    <w:rsid w:val="006152E1"/>
    <w:rsid w:val="00626551"/>
    <w:rsid w:val="00647544"/>
    <w:rsid w:val="006652C8"/>
    <w:rsid w:val="00753F6A"/>
    <w:rsid w:val="0080133E"/>
    <w:rsid w:val="008400F0"/>
    <w:rsid w:val="00844316"/>
    <w:rsid w:val="00856B21"/>
    <w:rsid w:val="008D63BB"/>
    <w:rsid w:val="00923D05"/>
    <w:rsid w:val="00932A44"/>
    <w:rsid w:val="00937F88"/>
    <w:rsid w:val="00942EF1"/>
    <w:rsid w:val="0094556B"/>
    <w:rsid w:val="00A17B9F"/>
    <w:rsid w:val="00AD5582"/>
    <w:rsid w:val="00B53737"/>
    <w:rsid w:val="00B81852"/>
    <w:rsid w:val="00BD6203"/>
    <w:rsid w:val="00C03FD0"/>
    <w:rsid w:val="00C72F17"/>
    <w:rsid w:val="00D70C53"/>
    <w:rsid w:val="00E35CD3"/>
    <w:rsid w:val="00E617B3"/>
    <w:rsid w:val="00E61C68"/>
    <w:rsid w:val="00F25052"/>
    <w:rsid w:val="00F37617"/>
    <w:rsid w:val="00F56407"/>
    <w:rsid w:val="00F90D4D"/>
    <w:rsid w:val="00FA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C49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026D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617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0415-DB56-48CC-B666-9C972747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Михаил Юрьевич</dc:creator>
  <cp:lastModifiedBy>Юр служба</cp:lastModifiedBy>
  <cp:revision>30</cp:revision>
  <cp:lastPrinted>2022-02-24T08:53:00Z</cp:lastPrinted>
  <dcterms:created xsi:type="dcterms:W3CDTF">2019-01-19T17:13:00Z</dcterms:created>
  <dcterms:modified xsi:type="dcterms:W3CDTF">2023-02-27T11:56:00Z</dcterms:modified>
</cp:coreProperties>
</file>