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E" w:rsidRDefault="007002DE" w:rsidP="007002DE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</w:t>
      </w:r>
      <w:r w:rsidR="00E617B3">
        <w:rPr>
          <w:rStyle w:val="fontstyle01"/>
          <w:rFonts w:ascii="Liberation Sans" w:hAnsi="Liberation Sans"/>
        </w:rPr>
        <w:t>Приложение 2</w:t>
      </w:r>
      <w:r w:rsidR="00E617B3">
        <w:rPr>
          <w:rFonts w:ascii="Liberation Sans" w:hAnsi="Liberation Sans"/>
        </w:rPr>
        <w:br/>
      </w: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                  </w:t>
      </w:r>
      <w:r w:rsidR="00E617B3">
        <w:rPr>
          <w:rStyle w:val="fontstyle01"/>
          <w:rFonts w:ascii="Liberation Sans" w:hAnsi="Liberation Sans"/>
        </w:rPr>
        <w:t>к распоряжению</w:t>
      </w:r>
      <w:r>
        <w:rPr>
          <w:rFonts w:ascii="Liberation Sans" w:hAnsi="Liberation Sans"/>
        </w:rPr>
        <w:t xml:space="preserve"> </w:t>
      </w:r>
      <w:r w:rsidR="00E617B3">
        <w:rPr>
          <w:rStyle w:val="fontstyle01"/>
          <w:rFonts w:ascii="Liberation Sans" w:hAnsi="Liberation Sans"/>
        </w:rPr>
        <w:t xml:space="preserve">Администрации Мишкинского </w:t>
      </w:r>
    </w:p>
    <w:p w:rsidR="00E617B3" w:rsidRDefault="007002DE" w:rsidP="007002DE">
      <w:pPr>
        <w:pStyle w:val="a4"/>
        <w:jc w:val="center"/>
        <w:rPr>
          <w:rFonts w:ascii="Liberation Sans" w:hAnsi="Liberation Sans" w:cs="Arial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              </w:t>
      </w:r>
      <w:r w:rsidR="00A17B9F">
        <w:rPr>
          <w:rStyle w:val="fontstyle01"/>
          <w:rFonts w:ascii="Liberation Sans" w:hAnsi="Liberation Sans"/>
        </w:rPr>
        <w:t>муниципального округа</w:t>
      </w:r>
      <w:r>
        <w:rPr>
          <w:rStyle w:val="fontstyle01"/>
          <w:rFonts w:ascii="Liberation Sans" w:hAnsi="Liberation Sans"/>
        </w:rPr>
        <w:t xml:space="preserve"> Курганской области</w:t>
      </w:r>
    </w:p>
    <w:p w:rsidR="00E617B3" w:rsidRPr="007002DE" w:rsidRDefault="007002DE" w:rsidP="007002DE">
      <w:pPr>
        <w:pStyle w:val="a4"/>
        <w:jc w:val="center"/>
        <w:rPr>
          <w:rStyle w:val="fontstyle01"/>
          <w:rFonts w:ascii="Liberation Sans" w:hAnsi="Liberation Sans"/>
          <w:color w:val="auto"/>
          <w:u w:val="single"/>
        </w:rPr>
      </w:pPr>
      <w:r w:rsidRPr="007002DE">
        <w:rPr>
          <w:rStyle w:val="fontstyle01"/>
          <w:rFonts w:ascii="Liberation Sans" w:hAnsi="Liberation Sans"/>
          <w:color w:val="auto"/>
        </w:rPr>
        <w:t xml:space="preserve">                            </w:t>
      </w:r>
      <w:r>
        <w:rPr>
          <w:rStyle w:val="fontstyle01"/>
          <w:rFonts w:ascii="Liberation Sans" w:hAnsi="Liberation Sans"/>
          <w:color w:val="auto"/>
        </w:rPr>
        <w:t xml:space="preserve">                                                                                                 </w:t>
      </w:r>
      <w:r w:rsidR="00A666B0">
        <w:rPr>
          <w:rStyle w:val="fontstyle01"/>
          <w:rFonts w:ascii="Liberation Sans" w:hAnsi="Liberation Sans"/>
          <w:color w:val="auto"/>
          <w:u w:val="single"/>
        </w:rPr>
        <w:t>от 20 февраля 2024 года № 246 - р</w:t>
      </w:r>
      <w:r w:rsidR="00753F6A" w:rsidRPr="007002DE">
        <w:rPr>
          <w:rStyle w:val="fontstyle01"/>
          <w:rFonts w:ascii="Liberation Sans" w:hAnsi="Liberation Sans"/>
          <w:color w:val="auto"/>
          <w:u w:val="single"/>
        </w:rPr>
        <w:t xml:space="preserve"> </w:t>
      </w:r>
    </w:p>
    <w:p w:rsidR="007002DE" w:rsidRDefault="007002DE" w:rsidP="007002DE">
      <w:pPr>
        <w:pStyle w:val="a4"/>
        <w:rPr>
          <w:rStyle w:val="fontstyle01"/>
          <w:rFonts w:ascii="Liberation Sans" w:hAnsi="Liberation Sans"/>
        </w:rPr>
      </w:pPr>
      <w:r>
        <w:rPr>
          <w:rFonts w:ascii="Liberation Sans" w:hAnsi="Liberation Sans" w:cs="Arial"/>
        </w:rPr>
        <w:t xml:space="preserve">                                                                                                                                                        </w:t>
      </w:r>
      <w:r w:rsidR="00E617B3">
        <w:rPr>
          <w:rFonts w:ascii="Liberation Sans" w:hAnsi="Liberation Sans" w:cs="Arial"/>
        </w:rPr>
        <w:t>«</w:t>
      </w:r>
      <w:r w:rsidR="00E617B3">
        <w:rPr>
          <w:rFonts w:ascii="Liberation Sans" w:hAnsi="Liberation Sans"/>
        </w:rPr>
        <w:t xml:space="preserve">Об  утверждении  </w:t>
      </w:r>
      <w:r w:rsidR="00E617B3">
        <w:rPr>
          <w:rStyle w:val="fontstyle01"/>
          <w:rFonts w:ascii="Liberation Sans" w:hAnsi="Liberation Sans"/>
        </w:rPr>
        <w:t xml:space="preserve">плана мероприятий </w:t>
      </w:r>
    </w:p>
    <w:p w:rsidR="007002DE" w:rsidRDefault="007002DE" w:rsidP="007002DE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</w:t>
      </w:r>
      <w:r w:rsidR="00E617B3">
        <w:rPr>
          <w:rStyle w:val="fontstyle01"/>
          <w:rFonts w:ascii="Liberation Sans" w:hAnsi="Liberation Sans"/>
        </w:rPr>
        <w:t xml:space="preserve">(дорожной карты) по снижению </w:t>
      </w:r>
    </w:p>
    <w:p w:rsidR="007002DE" w:rsidRDefault="007002DE" w:rsidP="007002DE">
      <w:pPr>
        <w:pStyle w:val="a4"/>
        <w:jc w:val="center"/>
        <w:rPr>
          <w:rFonts w:ascii="Liberation Sans" w:hAnsi="Liberation Sans"/>
          <w:bCs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</w:t>
      </w:r>
      <w:r w:rsidR="00E617B3">
        <w:rPr>
          <w:rStyle w:val="fontstyle01"/>
          <w:rFonts w:ascii="Liberation Sans" w:hAnsi="Liberation Sans"/>
        </w:rPr>
        <w:t xml:space="preserve">комплаенс-рисков в </w:t>
      </w:r>
      <w:r w:rsidR="00E617B3">
        <w:rPr>
          <w:rFonts w:ascii="Liberation Sans" w:hAnsi="Liberation Sans"/>
          <w:bCs/>
        </w:rPr>
        <w:t xml:space="preserve">Администрации </w:t>
      </w:r>
    </w:p>
    <w:p w:rsidR="007002DE" w:rsidRPr="007002DE" w:rsidRDefault="007002DE" w:rsidP="007002DE">
      <w:pPr>
        <w:pStyle w:val="a4"/>
        <w:jc w:val="center"/>
        <w:rPr>
          <w:rFonts w:ascii="Liberation Sans" w:hAnsi="Liberation Sans" w:cs="Calibri"/>
          <w:color w:val="000000"/>
        </w:rPr>
      </w:pPr>
      <w:r>
        <w:rPr>
          <w:rFonts w:ascii="Liberation Sans" w:hAnsi="Liberation Sans"/>
          <w:bCs/>
        </w:rPr>
        <w:t xml:space="preserve">                                                                                                                                </w:t>
      </w:r>
      <w:r w:rsidR="00E617B3">
        <w:rPr>
          <w:rFonts w:ascii="Liberation Sans" w:hAnsi="Liberation Sans"/>
          <w:bCs/>
        </w:rPr>
        <w:t xml:space="preserve">Мишкинского </w:t>
      </w:r>
      <w:r w:rsidR="00A17B9F">
        <w:rPr>
          <w:rFonts w:ascii="Liberation Sans" w:hAnsi="Liberation Sans"/>
          <w:bCs/>
        </w:rPr>
        <w:t>муниципального округа</w:t>
      </w:r>
      <w:r>
        <w:rPr>
          <w:rFonts w:ascii="Liberation Sans" w:hAnsi="Liberation Sans"/>
          <w:bCs/>
        </w:rPr>
        <w:t xml:space="preserve"> </w:t>
      </w:r>
    </w:p>
    <w:p w:rsidR="003C47AB" w:rsidRDefault="007002DE" w:rsidP="007002DE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Fonts w:ascii="Liberation Sans" w:hAnsi="Liberation Sans"/>
          <w:bCs/>
        </w:rPr>
        <w:t xml:space="preserve">                                                                                                                         Курганской области </w:t>
      </w:r>
      <w:r>
        <w:rPr>
          <w:rStyle w:val="fontstyle01"/>
          <w:rFonts w:ascii="Liberation Sans" w:hAnsi="Liberation Sans"/>
        </w:rPr>
        <w:t xml:space="preserve"> на 2024</w:t>
      </w:r>
      <w:r w:rsidR="00E617B3">
        <w:rPr>
          <w:rStyle w:val="fontstyle01"/>
          <w:rFonts w:ascii="Liberation Sans" w:hAnsi="Liberation Sans"/>
        </w:rPr>
        <w:t xml:space="preserve"> год,</w:t>
      </w:r>
    </w:p>
    <w:p w:rsidR="007002DE" w:rsidRDefault="007002DE" w:rsidP="007002DE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             </w:t>
      </w:r>
      <w:r w:rsidR="00E617B3">
        <w:rPr>
          <w:rStyle w:val="fontstyle01"/>
          <w:rFonts w:ascii="Liberation Sans" w:hAnsi="Liberation Sans"/>
        </w:rPr>
        <w:t>карты комплаенс-рисков, методики расчёта</w:t>
      </w:r>
    </w:p>
    <w:p w:rsidR="007002DE" w:rsidRDefault="007002DE" w:rsidP="007002DE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      </w:t>
      </w:r>
      <w:r w:rsidR="00E617B3">
        <w:rPr>
          <w:rStyle w:val="fontstyle01"/>
          <w:rFonts w:ascii="Liberation Sans" w:hAnsi="Liberation Sans"/>
        </w:rPr>
        <w:t xml:space="preserve">ключевых показателей эффективности </w:t>
      </w:r>
    </w:p>
    <w:p w:rsidR="00B81852" w:rsidRPr="003C47AB" w:rsidRDefault="007002DE" w:rsidP="007002DE">
      <w:pPr>
        <w:pStyle w:val="a4"/>
        <w:jc w:val="right"/>
        <w:rPr>
          <w:rFonts w:ascii="Liberation Sans" w:hAnsi="Liberation Sans" w:cs="Calibri"/>
          <w:color w:val="000000"/>
        </w:rPr>
      </w:pPr>
      <w:r>
        <w:rPr>
          <w:rStyle w:val="fontstyle01"/>
          <w:rFonts w:ascii="Liberation Sans" w:hAnsi="Liberation Sans"/>
        </w:rPr>
        <w:t xml:space="preserve"> </w:t>
      </w:r>
      <w:r w:rsidR="00E617B3">
        <w:rPr>
          <w:rStyle w:val="fontstyle01"/>
          <w:rFonts w:ascii="Liberation Sans" w:hAnsi="Liberation Sans"/>
        </w:rPr>
        <w:t>функционирования антимонопольного комплаенса</w:t>
      </w:r>
      <w:r w:rsidR="00E617B3">
        <w:rPr>
          <w:rFonts w:ascii="Liberation Sans" w:hAnsi="Liberation Sans"/>
        </w:rPr>
        <w:t>»</w:t>
      </w:r>
    </w:p>
    <w:p w:rsidR="00942EF1" w:rsidRPr="00D70C53" w:rsidRDefault="00942EF1" w:rsidP="007002DE">
      <w:pPr>
        <w:spacing w:after="0" w:line="240" w:lineRule="auto"/>
        <w:jc w:val="right"/>
        <w:rPr>
          <w:rFonts w:ascii="Liberation Sans" w:hAnsi="Liberation Sans" w:cs="Times New Roman"/>
        </w:rPr>
      </w:pPr>
    </w:p>
    <w:p w:rsidR="00AD5582" w:rsidRPr="00D70C53" w:rsidRDefault="00AD5582" w:rsidP="007002DE">
      <w:pPr>
        <w:spacing w:after="0" w:line="240" w:lineRule="auto"/>
        <w:jc w:val="right"/>
        <w:rPr>
          <w:rFonts w:ascii="Liberation Sans" w:hAnsi="Liberation Sans" w:cs="Times New Roman"/>
        </w:rPr>
      </w:pPr>
    </w:p>
    <w:p w:rsidR="002467AB" w:rsidRPr="002C4986" w:rsidRDefault="00362482" w:rsidP="00932A44">
      <w:pPr>
        <w:spacing w:after="0" w:line="240" w:lineRule="auto"/>
        <w:jc w:val="center"/>
        <w:rPr>
          <w:rFonts w:ascii="Liberation Sans" w:hAnsi="Liberation Sans" w:cs="Times New Roman"/>
          <w:sz w:val="24"/>
          <w:szCs w:val="24"/>
        </w:rPr>
      </w:pPr>
      <w:r w:rsidRPr="002C4986">
        <w:rPr>
          <w:rFonts w:ascii="Liberation Sans" w:hAnsi="Liberation Sans" w:cs="Times New Roman"/>
          <w:sz w:val="24"/>
          <w:szCs w:val="24"/>
        </w:rPr>
        <w:t>КАРТА</w:t>
      </w:r>
      <w:r w:rsidR="00932A44" w:rsidRPr="002C4986">
        <w:rPr>
          <w:rFonts w:ascii="Liberation Sans" w:hAnsi="Liberation Sans" w:cs="Times New Roman"/>
          <w:sz w:val="24"/>
          <w:szCs w:val="24"/>
        </w:rPr>
        <w:t xml:space="preserve"> КОМПЛАЕНС-РИСКОВ</w:t>
      </w:r>
    </w:p>
    <w:p w:rsidR="00932A44" w:rsidRPr="002C4986" w:rsidRDefault="00362482" w:rsidP="00362482">
      <w:pPr>
        <w:spacing w:after="0" w:line="240" w:lineRule="auto"/>
        <w:jc w:val="center"/>
        <w:rPr>
          <w:rFonts w:ascii="Liberation Sans" w:hAnsi="Liberation Sans" w:cs="Times New Roman"/>
          <w:sz w:val="24"/>
          <w:szCs w:val="24"/>
        </w:rPr>
      </w:pPr>
      <w:r w:rsidRPr="002C4986">
        <w:rPr>
          <w:rFonts w:ascii="Liberation Sans" w:hAnsi="Liberation Sans" w:cs="Times New Roman"/>
          <w:sz w:val="24"/>
          <w:szCs w:val="24"/>
        </w:rPr>
        <w:t xml:space="preserve">Администрация Мишкинского </w:t>
      </w:r>
      <w:r w:rsidR="00A17B9F">
        <w:rPr>
          <w:rFonts w:ascii="Liberation Sans" w:hAnsi="Liberation Sans" w:cs="Times New Roman"/>
          <w:sz w:val="24"/>
          <w:szCs w:val="24"/>
        </w:rPr>
        <w:t>муниципального округа</w:t>
      </w:r>
      <w:r w:rsidRPr="002C4986">
        <w:rPr>
          <w:rFonts w:ascii="Liberation Sans" w:hAnsi="Liberation Sans" w:cs="Times New Roman"/>
          <w:sz w:val="24"/>
          <w:szCs w:val="24"/>
        </w:rPr>
        <w:t xml:space="preserve"> Курганской области </w:t>
      </w:r>
    </w:p>
    <w:p w:rsidR="00932A44" w:rsidRPr="00D70C53" w:rsidRDefault="00932A44" w:rsidP="00932A44">
      <w:pPr>
        <w:spacing w:after="0" w:line="240" w:lineRule="auto"/>
        <w:rPr>
          <w:rFonts w:ascii="Liberation Sans" w:hAnsi="Liberation Sans" w:cs="Times New Roman"/>
        </w:rPr>
      </w:pPr>
    </w:p>
    <w:tbl>
      <w:tblPr>
        <w:tblStyle w:val="a3"/>
        <w:tblW w:w="14850" w:type="dxa"/>
        <w:tblLook w:val="04A0"/>
      </w:tblPr>
      <w:tblGrid>
        <w:gridCol w:w="1355"/>
        <w:gridCol w:w="2304"/>
        <w:gridCol w:w="4383"/>
        <w:gridCol w:w="3183"/>
        <w:gridCol w:w="1812"/>
        <w:gridCol w:w="1813"/>
      </w:tblGrid>
      <w:tr w:rsidR="00046939" w:rsidRPr="00D70C53" w:rsidTr="00046939">
        <w:trPr>
          <w:trHeight w:val="782"/>
        </w:trPr>
        <w:tc>
          <w:tcPr>
            <w:tcW w:w="1355" w:type="dxa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Уровень риска</w:t>
            </w:r>
          </w:p>
        </w:tc>
        <w:tc>
          <w:tcPr>
            <w:tcW w:w="2304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Вид риска (описание)</w:t>
            </w:r>
          </w:p>
        </w:tc>
        <w:tc>
          <w:tcPr>
            <w:tcW w:w="4383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Причины и условия возникновения (описание)</w:t>
            </w:r>
          </w:p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</w:p>
        </w:tc>
        <w:tc>
          <w:tcPr>
            <w:tcW w:w="3183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Наличие (отсутствие) остаточных рисков</w:t>
            </w:r>
          </w:p>
        </w:tc>
        <w:tc>
          <w:tcPr>
            <w:tcW w:w="1812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eastAsia="Times New Roman" w:hAnsi="Liberation Sans" w:cs="Arial"/>
                <w:b/>
                <w:bCs/>
                <w:color w:val="000000"/>
              </w:rPr>
              <w:t>Наличие (отсутствие) остаточных рисков</w:t>
            </w:r>
          </w:p>
        </w:tc>
        <w:tc>
          <w:tcPr>
            <w:tcW w:w="1813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Вероятность повторного возникновения рисков</w:t>
            </w:r>
          </w:p>
        </w:tc>
      </w:tr>
      <w:tr w:rsidR="00046939" w:rsidRPr="00D70C53" w:rsidTr="00046939">
        <w:trPr>
          <w:trHeight w:val="1158"/>
        </w:trPr>
        <w:tc>
          <w:tcPr>
            <w:tcW w:w="1355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низкий</w:t>
            </w:r>
          </w:p>
        </w:tc>
        <w:tc>
          <w:tcPr>
            <w:tcW w:w="2304" w:type="dxa"/>
          </w:tcPr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Нарушение срока предоставления 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и муниципальных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.</w:t>
            </w:r>
          </w:p>
        </w:tc>
        <w:tc>
          <w:tcPr>
            <w:tcW w:w="4383" w:type="dxa"/>
          </w:tcPr>
          <w:p w:rsidR="00046939" w:rsidRPr="00D70C53" w:rsidRDefault="00046939" w:rsidP="00AD5582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Ослабление контроля за процедурой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и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Недобросовестное или небрежное отношения сотрудника к службе либо обязанностей по должности.</w:t>
            </w:r>
          </w:p>
        </w:tc>
        <w:tc>
          <w:tcPr>
            <w:tcW w:w="3183" w:type="dxa"/>
          </w:tcPr>
          <w:p w:rsidR="00046939" w:rsidRPr="00D70C53" w:rsidRDefault="00046939" w:rsidP="00046939">
            <w:pPr>
              <w:rPr>
                <w:rFonts w:ascii="Liberation Sans" w:hAnsi="Liberation Sans" w:cs="Times New Roman"/>
              </w:rPr>
            </w:pPr>
            <w:bookmarkStart w:id="0" w:name="_GoBack"/>
            <w:bookmarkEnd w:id="0"/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Осуществление текущего контроля предоставления государственных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и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Совершенствование механизмов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Обучение ответственных сотрудников.</w:t>
            </w:r>
          </w:p>
        </w:tc>
        <w:tc>
          <w:tcPr>
            <w:tcW w:w="1812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046939" w:rsidRPr="00D70C53" w:rsidTr="00D17A4C">
        <w:tc>
          <w:tcPr>
            <w:tcW w:w="1355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</w:p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</w:p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низкий</w:t>
            </w:r>
          </w:p>
        </w:tc>
        <w:tc>
          <w:tcPr>
            <w:tcW w:w="2304" w:type="dxa"/>
          </w:tcPr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Отказ в предоставлении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по основаниям, не предусмотренным администрат</w:t>
            </w:r>
            <w:r w:rsidR="005D2E71">
              <w:rPr>
                <w:rFonts w:ascii="Liberation Sans" w:eastAsia="Times New Roman" w:hAnsi="Liberation Sans" w:cs="Arial"/>
                <w:color w:val="000000"/>
              </w:rPr>
              <w:t xml:space="preserve">ивным регламентом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услуг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.</w:t>
            </w:r>
          </w:p>
        </w:tc>
        <w:tc>
          <w:tcPr>
            <w:tcW w:w="4383" w:type="dxa"/>
          </w:tcPr>
          <w:p w:rsidR="004168AC" w:rsidRDefault="00046939" w:rsidP="004168AC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 xml:space="preserve">1. Ослабление контроля за процедурой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. </w:t>
            </w:r>
          </w:p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2. Недобросовестное или небрежное отношения сотрудника к службе либо обязанностей по должности.</w:t>
            </w:r>
          </w:p>
        </w:tc>
        <w:tc>
          <w:tcPr>
            <w:tcW w:w="3183" w:type="dxa"/>
          </w:tcPr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Осуществление текущего контроля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Совершенствование механизмов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Обучение ответственных сотрудников.</w:t>
            </w:r>
          </w:p>
        </w:tc>
        <w:tc>
          <w:tcPr>
            <w:tcW w:w="1812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D70C53" w:rsidRPr="00D70C53" w:rsidTr="00891E92">
        <w:tc>
          <w:tcPr>
            <w:tcW w:w="1355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низкий</w:t>
            </w:r>
          </w:p>
        </w:tc>
        <w:tc>
          <w:tcPr>
            <w:tcW w:w="2304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Нарушения при осуществлении закупок товаров, работ, услуг для обеспечения государственных нужд в соответствии с Федеральный закон от 05.04.2013 N 44-ФЗ, которые привели к ограничению конкуренции</w:t>
            </w:r>
          </w:p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</w:p>
        </w:tc>
        <w:tc>
          <w:tcPr>
            <w:tcW w:w="4383" w:type="dxa"/>
          </w:tcPr>
          <w:p w:rsidR="00D70C53" w:rsidRPr="00D70C53" w:rsidRDefault="00D70C53" w:rsidP="005D2E71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1.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Нарушения порядка определения и обоснования начальной (максимальной) цены контракта.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Взаимодействие сотрудников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,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ответственных за подготовку документации о закупке, участвующих в процедуре определения подрядчика, поставщика, исполнителя по государственным контрактам с хозяйствующими субъектами с целью предоставления доступа к информации в приоритетном порядке. </w:t>
            </w:r>
          </w:p>
        </w:tc>
        <w:tc>
          <w:tcPr>
            <w:tcW w:w="3183" w:type="dxa"/>
          </w:tcPr>
          <w:p w:rsidR="00D70C53" w:rsidRPr="00D70C53" w:rsidRDefault="00D70C53" w:rsidP="00932A44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1. Осуществление текущего контроля закупочной деятельности.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Совершенствование механизмов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Обучение ответственных сотрудников.</w:t>
            </w:r>
          </w:p>
          <w:p w:rsidR="00D70C53" w:rsidRPr="00D70C53" w:rsidRDefault="00D70C53" w:rsidP="005D2E71">
            <w:pPr>
              <w:rPr>
                <w:rFonts w:ascii="Liberation Sans" w:hAnsi="Liberation Sans" w:cs="Times New Roman"/>
              </w:rPr>
            </w:pPr>
          </w:p>
        </w:tc>
        <w:tc>
          <w:tcPr>
            <w:tcW w:w="1812" w:type="dxa"/>
          </w:tcPr>
          <w:p w:rsidR="00D70C53" w:rsidRPr="00D70C53" w:rsidRDefault="00D70C53" w:rsidP="00B35B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D70C53" w:rsidRPr="00D70C53" w:rsidRDefault="00D70C53" w:rsidP="00B35B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D70C53" w:rsidRPr="00D70C53" w:rsidTr="00891E92">
        <w:tc>
          <w:tcPr>
            <w:tcW w:w="1355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низкий</w:t>
            </w:r>
          </w:p>
        </w:tc>
        <w:tc>
          <w:tcPr>
            <w:tcW w:w="2304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Осуществление действий (бездействия),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принятия актов и (или) осуществления таких действий (бездействия).</w:t>
            </w:r>
          </w:p>
        </w:tc>
        <w:tc>
          <w:tcPr>
            <w:tcW w:w="4383" w:type="dxa"/>
          </w:tcPr>
          <w:p w:rsidR="00D70C53" w:rsidRPr="00D70C53" w:rsidRDefault="00D70C53" w:rsidP="005D2E71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1. Введение ограничений в отношении создания хозяйствующих субъектов,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Необоснованное препятствование осуществлению деятельности хозяйствующих субъектов.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 xml:space="preserve">3. Установление ограничений прав хозяйствующих субъектов на продажу, покупку, иное приобретение, обмен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товаров.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4.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5. Установление для приобретателей товаров ограничений выбора хозяйствующих субъектов, которые предоставляют такие товары.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6. Предоставление хозяйствующему субъекту доступа к информации в приоритетном порядке</w:t>
            </w:r>
            <w:r w:rsidR="005D2E71">
              <w:rPr>
                <w:rFonts w:ascii="Liberation Sans" w:eastAsia="Times New Roman" w:hAnsi="Liberation Sans" w:cs="Arial"/>
                <w:color w:val="000000"/>
              </w:rPr>
              <w:t>.</w:t>
            </w:r>
          </w:p>
        </w:tc>
        <w:tc>
          <w:tcPr>
            <w:tcW w:w="3183" w:type="dxa"/>
          </w:tcPr>
          <w:p w:rsidR="00D70C53" w:rsidRPr="00D70C53" w:rsidRDefault="00D70C53" w:rsidP="005D2E71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1. Совершенствование системы контроля за соблюдением действующего антимонопольного законодательства.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Анализ выявленных нарушений антимонопольного законодательства.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 xml:space="preserve">3. Анализ нормативных правовых актов и проектов нормативных правовых актов, при необходимости –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инициирование внесения в них изменений и дополнений.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</w:r>
          </w:p>
        </w:tc>
        <w:tc>
          <w:tcPr>
            <w:tcW w:w="1812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отсутствуют</w:t>
            </w:r>
          </w:p>
        </w:tc>
        <w:tc>
          <w:tcPr>
            <w:tcW w:w="1813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D70C53" w:rsidRPr="00D70C53" w:rsidTr="00891E92">
        <w:tc>
          <w:tcPr>
            <w:tcW w:w="1355" w:type="dxa"/>
          </w:tcPr>
          <w:p w:rsidR="00D70C53" w:rsidRPr="00D70C53" w:rsidRDefault="00D70C53" w:rsidP="00932A44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низкий</w:t>
            </w:r>
          </w:p>
        </w:tc>
        <w:tc>
          <w:tcPr>
            <w:tcW w:w="2304" w:type="dxa"/>
          </w:tcPr>
          <w:p w:rsidR="00D70C53" w:rsidRPr="00D70C53" w:rsidRDefault="00D70C53" w:rsidP="00D70C53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 w:themeColor="text1"/>
              </w:rPr>
              <w:t>Нарушения при организации и проведении конкурсов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населением.</w:t>
            </w:r>
          </w:p>
        </w:tc>
        <w:tc>
          <w:tcPr>
            <w:tcW w:w="4383" w:type="dxa"/>
          </w:tcPr>
          <w:p w:rsidR="007002DE" w:rsidRDefault="00D70C53" w:rsidP="007002DE">
            <w:pPr>
              <w:spacing w:before="120" w:line="240" w:lineRule="atLeast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Включение требований к социальной программе, которые повлекут за собой ограничение количества участников конкурса </w:t>
            </w:r>
          </w:p>
          <w:p w:rsidR="00D70C53" w:rsidRPr="00D70C53" w:rsidRDefault="00D70C53" w:rsidP="007002DE">
            <w:pPr>
              <w:spacing w:before="120" w:line="240" w:lineRule="atLeast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2. Взаимодействие сотрудников ответственных за подготовку документации о конкурсе, участвующих в процедуре определения победителя с НКО с целью предоставления доступа к информации в приоритетном порядке</w:t>
            </w:r>
          </w:p>
        </w:tc>
        <w:tc>
          <w:tcPr>
            <w:tcW w:w="3183" w:type="dxa"/>
          </w:tcPr>
          <w:p w:rsidR="00D70C53" w:rsidRPr="00D70C53" w:rsidRDefault="00D70C53" w:rsidP="00B35B44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1. Осуществление текущего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Исключение взаимодействия сотрудников ответственных за подготовку документации, участвующих в процедуре определения победителя с хозяйствующими субъектами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Публичность проведения конкурса: опубликование на сайте информации о предстоящем конкурсе и его результатах</w:t>
            </w:r>
            <w:r w:rsidR="007002DE">
              <w:rPr>
                <w:rFonts w:ascii="Liberation Sans" w:eastAsia="Times New Roman" w:hAnsi="Liberation Sans" w:cs="Arial"/>
                <w:color w:val="000000"/>
              </w:rPr>
              <w:t>.</w:t>
            </w:r>
          </w:p>
        </w:tc>
        <w:tc>
          <w:tcPr>
            <w:tcW w:w="1812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</w:tbl>
    <w:p w:rsidR="00932A44" w:rsidRDefault="00932A44" w:rsidP="00932A44">
      <w:pPr>
        <w:spacing w:after="0" w:line="240" w:lineRule="auto"/>
        <w:rPr>
          <w:rFonts w:ascii="Liberation Sans" w:hAnsi="Liberation Sans" w:cs="Times New Roman"/>
        </w:rPr>
      </w:pPr>
    </w:p>
    <w:p w:rsidR="00026D85" w:rsidRDefault="00026D85" w:rsidP="00932A44">
      <w:pPr>
        <w:spacing w:after="0" w:line="240" w:lineRule="auto"/>
        <w:rPr>
          <w:rFonts w:ascii="Liberation Sans" w:hAnsi="Liberation Sans" w:cs="Times New Roman"/>
        </w:rPr>
      </w:pPr>
    </w:p>
    <w:p w:rsidR="00026D85" w:rsidRPr="00026D85" w:rsidRDefault="007002DE" w:rsidP="00026D85">
      <w:pPr>
        <w:pStyle w:val="Default"/>
        <w:jc w:val="both"/>
        <w:rPr>
          <w:rFonts w:ascii="Liberation Sans" w:hAnsi="Liberation Sans"/>
          <w:color w:val="auto"/>
          <w:sz w:val="22"/>
          <w:szCs w:val="22"/>
        </w:rPr>
      </w:pPr>
      <w:r>
        <w:rPr>
          <w:rFonts w:ascii="Liberation Sans" w:hAnsi="Liberation Sans"/>
          <w:color w:val="auto"/>
          <w:sz w:val="22"/>
          <w:szCs w:val="22"/>
        </w:rPr>
        <w:t>И.о. управляющего</w:t>
      </w:r>
      <w:r w:rsidR="00026D85" w:rsidRPr="00026D85">
        <w:rPr>
          <w:rFonts w:ascii="Liberation Sans" w:hAnsi="Liberation Sans"/>
          <w:color w:val="auto"/>
          <w:sz w:val="22"/>
          <w:szCs w:val="22"/>
        </w:rPr>
        <w:t xml:space="preserve"> делами</w:t>
      </w:r>
      <w:r w:rsidR="00026D85">
        <w:rPr>
          <w:rFonts w:ascii="Liberation Sans" w:hAnsi="Liberation Sans"/>
          <w:color w:val="auto"/>
          <w:sz w:val="22"/>
          <w:szCs w:val="22"/>
        </w:rPr>
        <w:t xml:space="preserve"> </w:t>
      </w:r>
      <w:r w:rsidR="00026D85" w:rsidRPr="00026D85">
        <w:rPr>
          <w:rFonts w:ascii="Liberation Sans" w:hAnsi="Liberation Sans"/>
          <w:color w:val="auto"/>
          <w:sz w:val="22"/>
          <w:szCs w:val="22"/>
        </w:rPr>
        <w:t>-</w:t>
      </w:r>
      <w:r w:rsidR="00026D85">
        <w:rPr>
          <w:rFonts w:ascii="Liberation Sans" w:hAnsi="Liberation Sans"/>
          <w:color w:val="auto"/>
          <w:sz w:val="22"/>
          <w:szCs w:val="22"/>
        </w:rPr>
        <w:t xml:space="preserve"> </w:t>
      </w:r>
      <w:r>
        <w:rPr>
          <w:rFonts w:ascii="Liberation Sans" w:hAnsi="Liberation Sans"/>
          <w:color w:val="auto"/>
          <w:sz w:val="22"/>
          <w:szCs w:val="22"/>
        </w:rPr>
        <w:t>руководителя</w:t>
      </w:r>
      <w:r w:rsidR="00026D85" w:rsidRPr="00026D85">
        <w:rPr>
          <w:rFonts w:ascii="Liberation Sans" w:hAnsi="Liberation Sans"/>
          <w:color w:val="auto"/>
          <w:sz w:val="22"/>
          <w:szCs w:val="22"/>
        </w:rPr>
        <w:t xml:space="preserve"> аппарата </w:t>
      </w:r>
    </w:p>
    <w:p w:rsidR="00026D85" w:rsidRPr="005D2E71" w:rsidRDefault="00026D85" w:rsidP="005D2E71">
      <w:pPr>
        <w:jc w:val="both"/>
        <w:rPr>
          <w:rFonts w:ascii="Liberation Sans" w:hAnsi="Liberation Sans"/>
        </w:rPr>
      </w:pPr>
      <w:r w:rsidRPr="00026D85">
        <w:rPr>
          <w:rFonts w:ascii="Liberation Sans" w:hAnsi="Liberation Sans"/>
        </w:rPr>
        <w:t xml:space="preserve">Администрации Мишкинского </w:t>
      </w:r>
      <w:r w:rsidR="00A17B9F">
        <w:rPr>
          <w:rFonts w:ascii="Liberation Sans" w:hAnsi="Liberation Sans"/>
        </w:rPr>
        <w:t>муниципального округа</w:t>
      </w:r>
      <w:r w:rsidRPr="00026D85">
        <w:rPr>
          <w:rFonts w:ascii="Liberation Sans" w:hAnsi="Liberation Sans"/>
        </w:rPr>
        <w:t xml:space="preserve">                                                                                                               </w:t>
      </w:r>
      <w:r w:rsidR="00A17B9F">
        <w:rPr>
          <w:rFonts w:ascii="Liberation Sans" w:hAnsi="Liberation Sans"/>
        </w:rPr>
        <w:t xml:space="preserve">            </w:t>
      </w:r>
      <w:r w:rsidR="007002DE">
        <w:rPr>
          <w:rFonts w:ascii="Liberation Sans" w:hAnsi="Liberation Sans"/>
        </w:rPr>
        <w:t xml:space="preserve"> Т.Г. Кошелева</w:t>
      </w:r>
    </w:p>
    <w:sectPr w:rsidR="00026D85" w:rsidRPr="005D2E71" w:rsidSect="007002DE">
      <w:pgSz w:w="16838" w:h="11906" w:orient="landscape"/>
      <w:pgMar w:top="992" w:right="67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2A44"/>
    <w:rsid w:val="00026D85"/>
    <w:rsid w:val="00030EC0"/>
    <w:rsid w:val="00046939"/>
    <w:rsid w:val="001C4DB2"/>
    <w:rsid w:val="001F4D59"/>
    <w:rsid w:val="00200586"/>
    <w:rsid w:val="0022689A"/>
    <w:rsid w:val="00241843"/>
    <w:rsid w:val="002467AB"/>
    <w:rsid w:val="002A6721"/>
    <w:rsid w:val="002C4986"/>
    <w:rsid w:val="00362482"/>
    <w:rsid w:val="003C47AB"/>
    <w:rsid w:val="004168AC"/>
    <w:rsid w:val="00494103"/>
    <w:rsid w:val="0057530E"/>
    <w:rsid w:val="005D2E71"/>
    <w:rsid w:val="006152E1"/>
    <w:rsid w:val="00626551"/>
    <w:rsid w:val="00647544"/>
    <w:rsid w:val="006652C8"/>
    <w:rsid w:val="00687E83"/>
    <w:rsid w:val="007002DE"/>
    <w:rsid w:val="00753F6A"/>
    <w:rsid w:val="0080133E"/>
    <w:rsid w:val="008400F0"/>
    <w:rsid w:val="00844316"/>
    <w:rsid w:val="00856B21"/>
    <w:rsid w:val="008D63BB"/>
    <w:rsid w:val="00923D05"/>
    <w:rsid w:val="00932A44"/>
    <w:rsid w:val="00937F88"/>
    <w:rsid w:val="00942EF1"/>
    <w:rsid w:val="0094556B"/>
    <w:rsid w:val="00A17B9F"/>
    <w:rsid w:val="00A666B0"/>
    <w:rsid w:val="00AB0066"/>
    <w:rsid w:val="00AD5582"/>
    <w:rsid w:val="00B53737"/>
    <w:rsid w:val="00B81852"/>
    <w:rsid w:val="00BD6203"/>
    <w:rsid w:val="00C03FD0"/>
    <w:rsid w:val="00C72F17"/>
    <w:rsid w:val="00D70C53"/>
    <w:rsid w:val="00E35CD3"/>
    <w:rsid w:val="00E617B3"/>
    <w:rsid w:val="00E61C68"/>
    <w:rsid w:val="00F25052"/>
    <w:rsid w:val="00F37617"/>
    <w:rsid w:val="00F56407"/>
    <w:rsid w:val="00F90D4D"/>
    <w:rsid w:val="00FA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C49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26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617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0415-DB56-48CC-B666-9C972747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Юр служба</cp:lastModifiedBy>
  <cp:revision>36</cp:revision>
  <cp:lastPrinted>2024-02-19T08:55:00Z</cp:lastPrinted>
  <dcterms:created xsi:type="dcterms:W3CDTF">2019-01-19T17:13:00Z</dcterms:created>
  <dcterms:modified xsi:type="dcterms:W3CDTF">2024-02-29T10:55:00Z</dcterms:modified>
</cp:coreProperties>
</file>